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7F456" w14:textId="46368623" w:rsidR="00767B43" w:rsidRPr="00984CED" w:rsidRDefault="006C3DC5" w:rsidP="006C3DC5">
      <w:pPr>
        <w:pStyle w:val="CoverTitle"/>
        <w:spacing w:before="100" w:beforeAutospacing="1"/>
      </w:pPr>
      <w:r w:rsidRPr="00984CED">
        <w:rPr>
          <w:noProof/>
        </w:rPr>
        <mc:AlternateContent>
          <mc:Choice Requires="wps">
            <w:drawing>
              <wp:anchor distT="0" distB="0" distL="114300" distR="114300" simplePos="0" relativeHeight="251658240" behindDoc="1" locked="0" layoutInCell="1" allowOverlap="1" wp14:anchorId="4A468818" wp14:editId="0FE28BFE">
                <wp:simplePos x="0" y="0"/>
                <wp:positionH relativeFrom="column">
                  <wp:posOffset>-391160</wp:posOffset>
                </wp:positionH>
                <wp:positionV relativeFrom="paragraph">
                  <wp:posOffset>-706120</wp:posOffset>
                </wp:positionV>
                <wp:extent cx="6803390" cy="2655855"/>
                <wp:effectExtent l="0" t="0" r="0" b="0"/>
                <wp:wrapNone/>
                <wp:docPr id="81" name="Snip Single Corner Rectangle 58"/>
                <wp:cNvGraphicFramePr/>
                <a:graphic xmlns:a="http://schemas.openxmlformats.org/drawingml/2006/main">
                  <a:graphicData uri="http://schemas.microsoft.com/office/word/2010/wordprocessingShape">
                    <wps:wsp>
                      <wps:cNvSpPr/>
                      <wps:spPr>
                        <a:xfrm>
                          <a:off x="0" y="0"/>
                          <a:ext cx="6803390" cy="2655855"/>
                        </a:xfrm>
                        <a:prstGeom prst="snip2DiagRect">
                          <a:avLst>
                            <a:gd name="adj1" fmla="val 24309"/>
                            <a:gd name="adj2" fmla="val 0"/>
                          </a:avLst>
                        </a:prstGeom>
                        <a:solidFill>
                          <a:srgbClr val="046B5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387E20" id="Snip Single Corner Rectangle 58" o:spid="_x0000_s1026" style="position:absolute;margin-left:-30.8pt;margin-top:-55.6pt;width:535.7pt;height:209.1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6803390,2655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BDCqwIAALYFAAAOAAAAZHJzL2Uyb0RvYy54bWysVEtv2zAMvg/YfxB0X+24cdYGdYosRYcB&#10;RVu0HXpWZCnWoNckJU7260fJj2RbscOwHBTKJD+Sn0heXe+VRDvmvDC6wpOzHCOmqamF3lT468vt&#10;hwuMfCC6JtJoVuED8/h68f7dVWvnrDCNkTVzCEC0n7e2wk0Idp5lnjZMEX9mLNOg5MYpEuDqNlnt&#10;SAvoSmZFns+y1rjaOkOZ9/D1plPiRcLnnNHwwLlnAckKQ24hnS6d63hmiysy3zhiG0H7NMg/ZKGI&#10;0BB0hLohgaCtE39AKUGd8YaHM2pUZjgXlKUaoJpJ/ls1zw2xLNUC5Hg70uT/Hyy93z3bRwc0tNbP&#10;PYixij13Kv5DfmifyDqMZLF9QBQ+zi7y8/NL4JSCrpiV5UVZRjqzo7t1PnxmRqEoVNhrYYsbQTZP&#10;8CyJLbK78yHRViNNFPQHqb9NMOJKwivsiETF9Dy/7F/pxKY4tUmvCGF7NJCGwBHaGynqWyFlurjN&#10;eiUdAmgoaDr7VK76nH8xkzoaaxPdupLil+xIUZLCQbJoJ/UT40jUQEqRykrdy8Y4hFKmw6RTNaRm&#10;Xfgyh98QPfZ79Ej8JcCIzCH+iN0DDJYdyIDdZdnbR1eWmn90zv+WWOc8eqTIRofRWQlt3FsAEqrq&#10;I3f2A0kdNZGltakPjw45042et/RWQDfcER8eiYNXhg6C/REe4ODStBU2vYRRY9yPt75HexgB0GLU&#10;wuxCa33fEscwkl80DMflZDqNw54u0/JjARd3qlmfavRWrQy0A/QdZJfEaB/kIHJn1CusmWWMCiqi&#10;KcSuMA1uuKxCt1NgUVG2XCYzGHBLwp1+tjSCR1ZjX77sX4mz/UgEmKZ7M8x538Ido0fb6KnNchsM&#10;FyEqj7z2F1gOqXH6RRa3z+k9WR3X7eInAAAA//8DAFBLAwQUAAYACAAAACEAXz3A/t8AAAANAQAA&#10;DwAAAGRycy9kb3ducmV2LnhtbEyPQU7DMBBF90jcwRokNqi1XVCAEKdCkbJCILX0AE48xBH2OIrd&#10;NtwedwW7Gc3Tn/er7eIdO+Ecx0AK5FoAQ+qDGWlQcPhsV0/AYtJktAuECn4wwra+vqp0acKZdnja&#10;p4HlEIqlVmBTmkrOY2/R67gOE1K+fYXZ65TXeeBm1ucc7h3fCFFwr0fKH6yesLHYf++PXkHzMLXv&#10;yZFo33zT2Y/DnRs7VOr2Znl9AZZwSX8wXPSzOtTZqQtHMpE5BatCFhnNg5RyA+yCCPGc63QK7sWj&#10;AF5X/H+L+hcAAP//AwBQSwECLQAUAAYACAAAACEAtoM4kv4AAADhAQAAEwAAAAAAAAAAAAAAAAAA&#10;AAAAW0NvbnRlbnRfVHlwZXNdLnhtbFBLAQItABQABgAIAAAAIQA4/SH/1gAAAJQBAAALAAAAAAAA&#10;AAAAAAAAAC8BAABfcmVscy8ucmVsc1BLAQItABQABgAIAAAAIQAqXBDCqwIAALYFAAAOAAAAAAAA&#10;AAAAAAAAAC4CAABkcnMvZTJvRG9jLnhtbFBLAQItABQABgAIAAAAIQBfPcD+3wAAAA0BAAAPAAAA&#10;AAAAAAAAAAAAAAUFAABkcnMvZG93bnJldi54bWxQSwUGAAAAAAQABADzAAAAEQYAAAAA&#10;" path="m645612,l6803390,r,l6803390,2010243r-645612,645612l,2655855r,l,645612,645612,xe" fillcolor="#046b5c" stroked="f" strokeweight="1pt">
                <v:stroke joinstyle="miter"/>
                <v:path arrowok="t" o:connecttype="custom" o:connectlocs="645612,0;6803390,0;6803390,0;6803390,2010243;6157778,2655855;0,2655855;0,2655855;0,645612;645612,0" o:connectangles="0,0,0,0,0,0,0,0,0"/>
              </v:shape>
            </w:pict>
          </mc:Fallback>
        </mc:AlternateContent>
      </w:r>
      <w:r w:rsidR="00767B43" w:rsidRPr="00984CED">
        <w:t xml:space="preserve">2025 MUC List Attachment: Hospital Harm – Postoperative Venous Thromboembolism </w:t>
      </w:r>
    </w:p>
    <w:p w14:paraId="27DC0339" w14:textId="36C23E60" w:rsidR="00767B43" w:rsidRDefault="00767B43" w:rsidP="00767B43">
      <w:pPr>
        <w:pStyle w:val="Paragraph"/>
      </w:pPr>
      <w:r w:rsidRPr="00796FF5">
        <w:rPr>
          <w:noProof/>
        </w:rPr>
        <w:drawing>
          <wp:anchor distT="0" distB="0" distL="114300" distR="114300" simplePos="0" relativeHeight="251660289" behindDoc="0" locked="0" layoutInCell="1" allowOverlap="1" wp14:anchorId="13D01545" wp14:editId="5EB35DF1">
            <wp:simplePos x="0" y="0"/>
            <wp:positionH relativeFrom="page">
              <wp:posOffset>5170805</wp:posOffset>
            </wp:positionH>
            <wp:positionV relativeFrom="page">
              <wp:posOffset>409575</wp:posOffset>
            </wp:positionV>
            <wp:extent cx="2157984" cy="530352"/>
            <wp:effectExtent l="0" t="0" r="0" b="3175"/>
            <wp:wrapNone/>
            <wp:docPr id="99" name="Picture 50" descr="Mathematica logo. Progres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descr="Mathematica logo. Progress Togethe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57984" cy="530352"/>
                    </a:xfrm>
                    <a:prstGeom prst="rect">
                      <a:avLst/>
                    </a:prstGeom>
                  </pic:spPr>
                </pic:pic>
              </a:graphicData>
            </a:graphic>
            <wp14:sizeRelH relativeFrom="margin">
              <wp14:pctWidth>0</wp14:pctWidth>
            </wp14:sizeRelH>
            <wp14:sizeRelV relativeFrom="margin">
              <wp14:pctHeight>0</wp14:pctHeight>
            </wp14:sizeRelV>
          </wp:anchor>
        </w:drawing>
      </w:r>
    </w:p>
    <w:p w14:paraId="10C9742E" w14:textId="532C7660" w:rsidR="00767B43" w:rsidRPr="000D2201" w:rsidRDefault="004D1479" w:rsidP="00767B43">
      <w:pPr>
        <w:pStyle w:val="CoverDate"/>
        <w:spacing w:before="1200"/>
      </w:pPr>
      <w:bookmarkStart w:id="0" w:name="_Hlk79656947"/>
      <w:r>
        <w:t>May 2025</w:t>
      </w:r>
    </w:p>
    <w:p w14:paraId="1B7ABDB0" w14:textId="7E49D61C" w:rsidR="00767B43" w:rsidRPr="00A062EF" w:rsidRDefault="00EE4175" w:rsidP="00767B43">
      <w:pPr>
        <w:pStyle w:val="CoverAuthor"/>
      </w:pPr>
      <w:r>
        <w:t>Mathematica Measure Development Team</w:t>
      </w:r>
    </w:p>
    <w:p w14:paraId="4ECBCC86" w14:textId="77777777" w:rsidR="00767B43" w:rsidRPr="00F14AD4" w:rsidRDefault="00767B43" w:rsidP="00767B43">
      <w:pPr>
        <w:pStyle w:val="Covertextborder"/>
      </w:pPr>
    </w:p>
    <w:bookmarkEnd w:id="0"/>
    <w:p w14:paraId="2ED22145" w14:textId="7A6D7BC5" w:rsidR="00095BBA" w:rsidRDefault="00095BBA" w:rsidP="00095BBA">
      <w:pPr>
        <w:pStyle w:val="Anchor"/>
      </w:pPr>
    </w:p>
    <w:p w14:paraId="2D0EE99A" w14:textId="77777777" w:rsidR="00095BBA" w:rsidRPr="00A1227A" w:rsidRDefault="00095BBA" w:rsidP="00095BBA">
      <w:pPr>
        <w:spacing w:line="240" w:lineRule="auto"/>
        <w:rPr>
          <w:b/>
          <w:bCs/>
        </w:rPr>
      </w:pPr>
    </w:p>
    <w:p w14:paraId="30248EAB" w14:textId="77777777" w:rsidR="00095BBA" w:rsidRPr="00A1227A" w:rsidRDefault="00095BBA" w:rsidP="00095BBA">
      <w:pPr>
        <w:spacing w:line="240" w:lineRule="auto"/>
        <w:rPr>
          <w:b/>
          <w:bCs/>
        </w:rPr>
        <w:sectPr w:rsidR="00095BBA" w:rsidRPr="00A1227A">
          <w:headerReference w:type="default" r:id="rId13"/>
          <w:footerReference w:type="default" r:id="rId14"/>
          <w:headerReference w:type="first" r:id="rId15"/>
          <w:pgSz w:w="12240" w:h="15840"/>
          <w:pgMar w:top="4320" w:right="1440" w:bottom="1440" w:left="1440" w:header="720" w:footer="720" w:gutter="0"/>
          <w:pgNumType w:fmt="lowerRoman" w:start="0"/>
          <w:cols w:space="720"/>
          <w:titlePg/>
          <w:docGrid w:linePitch="299"/>
        </w:sectPr>
      </w:pPr>
    </w:p>
    <w:p w14:paraId="6D55A525" w14:textId="17E10156" w:rsidR="00986E71" w:rsidRDefault="00986E71" w:rsidP="008F7173">
      <w:pPr>
        <w:pStyle w:val="Paragraph"/>
        <w:tabs>
          <w:tab w:val="left" w:pos="7213"/>
        </w:tabs>
      </w:pPr>
    </w:p>
    <w:sdt>
      <w:sdtPr>
        <w:rPr>
          <w:rFonts w:asciiTheme="minorHAnsi" w:eastAsiaTheme="minorEastAsia" w:hAnsiTheme="minorHAnsi" w:cs="Times New Roman"/>
          <w:b/>
          <w:bCs/>
          <w:color w:val="auto"/>
          <w:sz w:val="20"/>
          <w:szCs w:val="20"/>
        </w:rPr>
        <w:id w:val="-233086369"/>
        <w:docPartObj>
          <w:docPartGallery w:val="Table of Contents"/>
          <w:docPartUnique/>
        </w:docPartObj>
      </w:sdtPr>
      <w:sdtEndPr>
        <w:rPr>
          <w:rFonts w:cstheme="minorBidi"/>
          <w:b w:val="0"/>
          <w:bCs w:val="0"/>
        </w:rPr>
      </w:sdtEndPr>
      <w:sdtContent>
        <w:p w14:paraId="6936C7CF" w14:textId="77777777" w:rsidR="00986E71" w:rsidRDefault="00986E71">
          <w:pPr>
            <w:pStyle w:val="TOCHeading"/>
          </w:pPr>
          <w:r>
            <w:t>Contents</w:t>
          </w:r>
        </w:p>
        <w:p w14:paraId="3694315F" w14:textId="6057FBFE" w:rsidR="00E35C94" w:rsidRDefault="00986E71">
          <w:pPr>
            <w:pStyle w:val="TOC1"/>
            <w:rPr>
              <w:rFonts w:asciiTheme="minorHAnsi" w:eastAsiaTheme="minorEastAsia" w:hAnsiTheme="minorHAnsi"/>
              <w:noProof/>
              <w:kern w:val="2"/>
              <w:sz w:val="24"/>
              <w:szCs w:val="24"/>
              <w14:ligatures w14:val="standardContextual"/>
            </w:rPr>
          </w:pPr>
          <w:r>
            <w:fldChar w:fldCharType="begin"/>
          </w:r>
          <w:r>
            <w:instrText xml:space="preserve"> TOC \h \z \t "Acknowledgment,1,Appendix Title,8,Attachment Title,1,H1,1,ES</w:instrText>
          </w:r>
          <w:r w:rsidRPr="009A19A8">
            <w:instrText xml:space="preserve"> H1,1,</w:instrText>
          </w:r>
          <w:r>
            <w:instrText xml:space="preserve">H2,2,H3,3" </w:instrText>
          </w:r>
          <w:r>
            <w:fldChar w:fldCharType="separate"/>
          </w:r>
          <w:hyperlink w:anchor="_Toc195287980" w:history="1">
            <w:r w:rsidR="00E35C94" w:rsidRPr="00282503">
              <w:rPr>
                <w:rStyle w:val="Hyperlink"/>
                <w:noProof/>
              </w:rPr>
              <w:t>Clinical Guidelines</w:t>
            </w:r>
            <w:r w:rsidR="00E35C94">
              <w:rPr>
                <w:noProof/>
                <w:webHidden/>
              </w:rPr>
              <w:tab/>
            </w:r>
            <w:r w:rsidR="00E35C94">
              <w:rPr>
                <w:noProof/>
                <w:webHidden/>
              </w:rPr>
              <w:fldChar w:fldCharType="begin"/>
            </w:r>
            <w:r w:rsidR="00E35C94">
              <w:rPr>
                <w:noProof/>
                <w:webHidden/>
              </w:rPr>
              <w:instrText xml:space="preserve"> PAGEREF _Toc195287980 \h </w:instrText>
            </w:r>
            <w:r w:rsidR="00E35C94">
              <w:rPr>
                <w:noProof/>
                <w:webHidden/>
              </w:rPr>
            </w:r>
            <w:r w:rsidR="00E35C94">
              <w:rPr>
                <w:noProof/>
                <w:webHidden/>
              </w:rPr>
              <w:fldChar w:fldCharType="separate"/>
            </w:r>
            <w:r w:rsidR="00E35C94">
              <w:rPr>
                <w:noProof/>
                <w:webHidden/>
              </w:rPr>
              <w:t>1</w:t>
            </w:r>
            <w:r w:rsidR="00E35C94">
              <w:rPr>
                <w:noProof/>
                <w:webHidden/>
              </w:rPr>
              <w:fldChar w:fldCharType="end"/>
            </w:r>
          </w:hyperlink>
        </w:p>
        <w:p w14:paraId="6E36D4E3" w14:textId="74723104" w:rsidR="00E35C94" w:rsidRDefault="00E35C94">
          <w:pPr>
            <w:pStyle w:val="TOC2"/>
            <w:tabs>
              <w:tab w:val="left" w:pos="864"/>
            </w:tabs>
            <w:rPr>
              <w:rFonts w:asciiTheme="minorHAnsi" w:eastAsiaTheme="minorEastAsia" w:hAnsiTheme="minorHAnsi"/>
              <w:noProof/>
              <w:kern w:val="2"/>
              <w:sz w:val="24"/>
              <w:szCs w:val="24"/>
              <w14:ligatures w14:val="standardContextual"/>
            </w:rPr>
          </w:pPr>
          <w:hyperlink w:anchor="_Toc195287981" w:history="1">
            <w:r w:rsidRPr="00282503">
              <w:rPr>
                <w:rStyle w:val="Hyperlink"/>
                <w:rFonts w:eastAsia="Times New Roman"/>
                <w:noProof/>
              </w:rPr>
              <w:t xml:space="preserve">1. </w:t>
            </w:r>
            <w:r>
              <w:rPr>
                <w:rFonts w:asciiTheme="minorHAnsi" w:eastAsiaTheme="minorEastAsia" w:hAnsiTheme="minorHAnsi"/>
                <w:noProof/>
                <w:kern w:val="2"/>
                <w:sz w:val="24"/>
                <w:szCs w:val="24"/>
                <w14:ligatures w14:val="standardContextual"/>
              </w:rPr>
              <w:tab/>
            </w:r>
            <w:r w:rsidRPr="00282503">
              <w:rPr>
                <w:rStyle w:val="Hyperlink"/>
                <w:rFonts w:eastAsia="Times New Roman"/>
                <w:noProof/>
              </w:rPr>
              <w:t>American College of Chest Physicians (ACCP/CHEST): 2012 Guidelines for Prevention of VTE in Nonorthopedic Surgical Patients</w:t>
            </w:r>
            <w:r>
              <w:rPr>
                <w:noProof/>
                <w:webHidden/>
              </w:rPr>
              <w:tab/>
            </w:r>
            <w:r>
              <w:rPr>
                <w:noProof/>
                <w:webHidden/>
              </w:rPr>
              <w:fldChar w:fldCharType="begin"/>
            </w:r>
            <w:r>
              <w:rPr>
                <w:noProof/>
                <w:webHidden/>
              </w:rPr>
              <w:instrText xml:space="preserve"> PAGEREF _Toc195287981 \h </w:instrText>
            </w:r>
            <w:r>
              <w:rPr>
                <w:noProof/>
                <w:webHidden/>
              </w:rPr>
            </w:r>
            <w:r>
              <w:rPr>
                <w:noProof/>
                <w:webHidden/>
              </w:rPr>
              <w:fldChar w:fldCharType="separate"/>
            </w:r>
            <w:r>
              <w:rPr>
                <w:noProof/>
                <w:webHidden/>
              </w:rPr>
              <w:t>1</w:t>
            </w:r>
            <w:r>
              <w:rPr>
                <w:noProof/>
                <w:webHidden/>
              </w:rPr>
              <w:fldChar w:fldCharType="end"/>
            </w:r>
          </w:hyperlink>
        </w:p>
        <w:p w14:paraId="4891FE54" w14:textId="289F6268" w:rsidR="00E35C94" w:rsidRDefault="00E35C94">
          <w:pPr>
            <w:pStyle w:val="TOC2"/>
            <w:tabs>
              <w:tab w:val="left" w:pos="864"/>
            </w:tabs>
            <w:rPr>
              <w:rFonts w:asciiTheme="minorHAnsi" w:eastAsiaTheme="minorEastAsia" w:hAnsiTheme="minorHAnsi"/>
              <w:noProof/>
              <w:kern w:val="2"/>
              <w:sz w:val="24"/>
              <w:szCs w:val="24"/>
              <w14:ligatures w14:val="standardContextual"/>
            </w:rPr>
          </w:pPr>
          <w:hyperlink w:anchor="_Toc195287982" w:history="1">
            <w:r w:rsidRPr="00282503">
              <w:rPr>
                <w:rStyle w:val="Hyperlink"/>
                <w:rFonts w:eastAsia="Times New Roman"/>
                <w:noProof/>
              </w:rPr>
              <w:t>2.</w:t>
            </w:r>
            <w:r>
              <w:rPr>
                <w:rFonts w:asciiTheme="minorHAnsi" w:eastAsiaTheme="minorEastAsia" w:hAnsiTheme="minorHAnsi"/>
                <w:noProof/>
                <w:kern w:val="2"/>
                <w:sz w:val="24"/>
                <w:szCs w:val="24"/>
                <w14:ligatures w14:val="standardContextual"/>
              </w:rPr>
              <w:tab/>
            </w:r>
            <w:r w:rsidRPr="00282503">
              <w:rPr>
                <w:rStyle w:val="Hyperlink"/>
                <w:rFonts w:eastAsia="Times New Roman"/>
                <w:noProof/>
              </w:rPr>
              <w:t>ACCP/CHEST: 2012</w:t>
            </w:r>
            <w:r w:rsidRPr="00282503">
              <w:rPr>
                <w:rStyle w:val="Hyperlink"/>
                <w:noProof/>
              </w:rPr>
              <w:t xml:space="preserve"> </w:t>
            </w:r>
            <w:r w:rsidRPr="00282503">
              <w:rPr>
                <w:rStyle w:val="Hyperlink"/>
                <w:rFonts w:eastAsia="Times New Roman"/>
                <w:noProof/>
              </w:rPr>
              <w:t>Prevention of VTE in Orthopedic Surgery Patients</w:t>
            </w:r>
            <w:r>
              <w:rPr>
                <w:noProof/>
                <w:webHidden/>
              </w:rPr>
              <w:tab/>
            </w:r>
            <w:r>
              <w:rPr>
                <w:noProof/>
                <w:webHidden/>
              </w:rPr>
              <w:fldChar w:fldCharType="begin"/>
            </w:r>
            <w:r>
              <w:rPr>
                <w:noProof/>
                <w:webHidden/>
              </w:rPr>
              <w:instrText xml:space="preserve"> PAGEREF _Toc195287982 \h </w:instrText>
            </w:r>
            <w:r>
              <w:rPr>
                <w:noProof/>
                <w:webHidden/>
              </w:rPr>
            </w:r>
            <w:r>
              <w:rPr>
                <w:noProof/>
                <w:webHidden/>
              </w:rPr>
              <w:fldChar w:fldCharType="separate"/>
            </w:r>
            <w:r>
              <w:rPr>
                <w:noProof/>
                <w:webHidden/>
              </w:rPr>
              <w:t>5</w:t>
            </w:r>
            <w:r>
              <w:rPr>
                <w:noProof/>
                <w:webHidden/>
              </w:rPr>
              <w:fldChar w:fldCharType="end"/>
            </w:r>
          </w:hyperlink>
        </w:p>
        <w:p w14:paraId="23D6ABB8" w14:textId="4D4F7B6D" w:rsidR="00E35C94" w:rsidRDefault="00E35C94">
          <w:pPr>
            <w:pStyle w:val="TOC2"/>
            <w:tabs>
              <w:tab w:val="left" w:pos="864"/>
            </w:tabs>
            <w:rPr>
              <w:rFonts w:asciiTheme="minorHAnsi" w:eastAsiaTheme="minorEastAsia" w:hAnsiTheme="minorHAnsi"/>
              <w:noProof/>
              <w:kern w:val="2"/>
              <w:sz w:val="24"/>
              <w:szCs w:val="24"/>
              <w14:ligatures w14:val="standardContextual"/>
            </w:rPr>
          </w:pPr>
          <w:hyperlink w:anchor="_Toc195287983" w:history="1">
            <w:r w:rsidRPr="00282503">
              <w:rPr>
                <w:rStyle w:val="Hyperlink"/>
                <w:noProof/>
              </w:rPr>
              <w:t>3.</w:t>
            </w:r>
            <w:r>
              <w:rPr>
                <w:rFonts w:asciiTheme="minorHAnsi" w:eastAsiaTheme="minorEastAsia" w:hAnsiTheme="minorHAnsi"/>
                <w:noProof/>
                <w:kern w:val="2"/>
                <w:sz w:val="24"/>
                <w:szCs w:val="24"/>
                <w14:ligatures w14:val="standardContextual"/>
              </w:rPr>
              <w:tab/>
            </w:r>
            <w:r w:rsidRPr="00282503">
              <w:rPr>
                <w:rStyle w:val="Hyperlink"/>
                <w:noProof/>
              </w:rPr>
              <w:t>ACCP/CHEST: 2021 Second Update of Antithrombotic Therapy for VTE Disease Guidelines</w:t>
            </w:r>
            <w:r>
              <w:rPr>
                <w:noProof/>
                <w:webHidden/>
              </w:rPr>
              <w:tab/>
            </w:r>
            <w:r>
              <w:rPr>
                <w:noProof/>
                <w:webHidden/>
              </w:rPr>
              <w:fldChar w:fldCharType="begin"/>
            </w:r>
            <w:r>
              <w:rPr>
                <w:noProof/>
                <w:webHidden/>
              </w:rPr>
              <w:instrText xml:space="preserve"> PAGEREF _Toc195287983 \h </w:instrText>
            </w:r>
            <w:r>
              <w:rPr>
                <w:noProof/>
                <w:webHidden/>
              </w:rPr>
            </w:r>
            <w:r>
              <w:rPr>
                <w:noProof/>
                <w:webHidden/>
              </w:rPr>
              <w:fldChar w:fldCharType="separate"/>
            </w:r>
            <w:r>
              <w:rPr>
                <w:noProof/>
                <w:webHidden/>
              </w:rPr>
              <w:t>9</w:t>
            </w:r>
            <w:r>
              <w:rPr>
                <w:noProof/>
                <w:webHidden/>
              </w:rPr>
              <w:fldChar w:fldCharType="end"/>
            </w:r>
          </w:hyperlink>
        </w:p>
        <w:p w14:paraId="7D866517" w14:textId="26344A70" w:rsidR="00E35C94" w:rsidRDefault="00E35C94">
          <w:pPr>
            <w:pStyle w:val="TOC2"/>
            <w:tabs>
              <w:tab w:val="left" w:pos="864"/>
            </w:tabs>
            <w:rPr>
              <w:rFonts w:asciiTheme="minorHAnsi" w:eastAsiaTheme="minorEastAsia" w:hAnsiTheme="minorHAnsi"/>
              <w:noProof/>
              <w:kern w:val="2"/>
              <w:sz w:val="24"/>
              <w:szCs w:val="24"/>
              <w14:ligatures w14:val="standardContextual"/>
            </w:rPr>
          </w:pPr>
          <w:hyperlink w:anchor="_Toc195287984" w:history="1">
            <w:r w:rsidRPr="00282503">
              <w:rPr>
                <w:rStyle w:val="Hyperlink"/>
                <w:noProof/>
              </w:rPr>
              <w:t>4.</w:t>
            </w:r>
            <w:r>
              <w:rPr>
                <w:rFonts w:asciiTheme="minorHAnsi" w:eastAsiaTheme="minorEastAsia" w:hAnsiTheme="minorHAnsi"/>
                <w:noProof/>
                <w:kern w:val="2"/>
                <w:sz w:val="24"/>
                <w:szCs w:val="24"/>
                <w14:ligatures w14:val="standardContextual"/>
              </w:rPr>
              <w:tab/>
            </w:r>
            <w:r w:rsidRPr="00282503">
              <w:rPr>
                <w:rStyle w:val="Hyperlink"/>
                <w:noProof/>
              </w:rPr>
              <w:t>American Society of Hematology: 2019</w:t>
            </w:r>
            <w:r>
              <w:rPr>
                <w:noProof/>
                <w:webHidden/>
              </w:rPr>
              <w:tab/>
            </w:r>
            <w:r>
              <w:rPr>
                <w:noProof/>
                <w:webHidden/>
              </w:rPr>
              <w:fldChar w:fldCharType="begin"/>
            </w:r>
            <w:r>
              <w:rPr>
                <w:noProof/>
                <w:webHidden/>
              </w:rPr>
              <w:instrText xml:space="preserve"> PAGEREF _Toc195287984 \h </w:instrText>
            </w:r>
            <w:r>
              <w:rPr>
                <w:noProof/>
                <w:webHidden/>
              </w:rPr>
            </w:r>
            <w:r>
              <w:rPr>
                <w:noProof/>
                <w:webHidden/>
              </w:rPr>
              <w:fldChar w:fldCharType="separate"/>
            </w:r>
            <w:r>
              <w:rPr>
                <w:noProof/>
                <w:webHidden/>
              </w:rPr>
              <w:t>12</w:t>
            </w:r>
            <w:r>
              <w:rPr>
                <w:noProof/>
                <w:webHidden/>
              </w:rPr>
              <w:fldChar w:fldCharType="end"/>
            </w:r>
          </w:hyperlink>
        </w:p>
        <w:p w14:paraId="27E12CDA" w14:textId="3D2E4844" w:rsidR="00E35C94" w:rsidRDefault="00E35C94">
          <w:pPr>
            <w:pStyle w:val="TOC2"/>
            <w:tabs>
              <w:tab w:val="left" w:pos="864"/>
            </w:tabs>
            <w:rPr>
              <w:rFonts w:asciiTheme="minorHAnsi" w:eastAsiaTheme="minorEastAsia" w:hAnsiTheme="minorHAnsi"/>
              <w:noProof/>
              <w:kern w:val="2"/>
              <w:sz w:val="24"/>
              <w:szCs w:val="24"/>
              <w14:ligatures w14:val="standardContextual"/>
            </w:rPr>
          </w:pPr>
          <w:hyperlink w:anchor="_Toc195287985" w:history="1">
            <w:r w:rsidRPr="00282503">
              <w:rPr>
                <w:rStyle w:val="Hyperlink"/>
                <w:rFonts w:eastAsia="Times New Roman"/>
                <w:noProof/>
              </w:rPr>
              <w:t>5.</w:t>
            </w:r>
            <w:r>
              <w:rPr>
                <w:rFonts w:asciiTheme="minorHAnsi" w:eastAsiaTheme="minorEastAsia" w:hAnsiTheme="minorHAnsi"/>
                <w:noProof/>
                <w:kern w:val="2"/>
                <w:sz w:val="24"/>
                <w:szCs w:val="24"/>
                <w14:ligatures w14:val="standardContextual"/>
              </w:rPr>
              <w:tab/>
            </w:r>
            <w:r w:rsidRPr="00282503">
              <w:rPr>
                <w:rStyle w:val="Hyperlink"/>
                <w:rFonts w:eastAsia="Times New Roman"/>
                <w:noProof/>
              </w:rPr>
              <w:t>European Society of Anaesthesiology: 2018</w:t>
            </w:r>
            <w:r>
              <w:rPr>
                <w:noProof/>
                <w:webHidden/>
              </w:rPr>
              <w:tab/>
            </w:r>
            <w:r>
              <w:rPr>
                <w:noProof/>
                <w:webHidden/>
              </w:rPr>
              <w:fldChar w:fldCharType="begin"/>
            </w:r>
            <w:r>
              <w:rPr>
                <w:noProof/>
                <w:webHidden/>
              </w:rPr>
              <w:instrText xml:space="preserve"> PAGEREF _Toc195287985 \h </w:instrText>
            </w:r>
            <w:r>
              <w:rPr>
                <w:noProof/>
                <w:webHidden/>
              </w:rPr>
            </w:r>
            <w:r>
              <w:rPr>
                <w:noProof/>
                <w:webHidden/>
              </w:rPr>
              <w:fldChar w:fldCharType="separate"/>
            </w:r>
            <w:r>
              <w:rPr>
                <w:noProof/>
                <w:webHidden/>
              </w:rPr>
              <w:t>17</w:t>
            </w:r>
            <w:r>
              <w:rPr>
                <w:noProof/>
                <w:webHidden/>
              </w:rPr>
              <w:fldChar w:fldCharType="end"/>
            </w:r>
          </w:hyperlink>
        </w:p>
        <w:p w14:paraId="048266AA" w14:textId="04172200" w:rsidR="00E35C94" w:rsidRDefault="00E35C94">
          <w:pPr>
            <w:pStyle w:val="TOC3"/>
            <w:tabs>
              <w:tab w:val="left" w:pos="1728"/>
            </w:tabs>
            <w:rPr>
              <w:rFonts w:asciiTheme="minorHAnsi" w:eastAsiaTheme="minorEastAsia" w:hAnsiTheme="minorHAnsi"/>
              <w:noProof/>
              <w:kern w:val="2"/>
              <w:sz w:val="24"/>
              <w:szCs w:val="24"/>
              <w14:ligatures w14:val="standardContextual"/>
            </w:rPr>
          </w:pPr>
          <w:hyperlink w:anchor="_Toc195287986" w:history="1">
            <w:r w:rsidRPr="00282503">
              <w:rPr>
                <w:rStyle w:val="Hyperlink"/>
                <w:rFonts w:eastAsia="Times New Roman"/>
                <w:noProof/>
              </w:rPr>
              <w:t>4.1.</w:t>
            </w:r>
            <w:r>
              <w:rPr>
                <w:rFonts w:asciiTheme="minorHAnsi" w:eastAsiaTheme="minorEastAsia" w:hAnsiTheme="minorHAnsi"/>
                <w:noProof/>
                <w:kern w:val="2"/>
                <w:sz w:val="24"/>
                <w:szCs w:val="24"/>
                <w14:ligatures w14:val="standardContextual"/>
              </w:rPr>
              <w:tab/>
            </w:r>
            <w:r w:rsidRPr="00282503">
              <w:rPr>
                <w:rStyle w:val="Hyperlink"/>
                <w:rFonts w:eastAsia="Times New Roman"/>
                <w:noProof/>
              </w:rPr>
              <w:t>ESA: Surgery in the obese patient</w:t>
            </w:r>
            <w:r>
              <w:rPr>
                <w:noProof/>
                <w:webHidden/>
              </w:rPr>
              <w:tab/>
            </w:r>
            <w:r>
              <w:rPr>
                <w:noProof/>
                <w:webHidden/>
              </w:rPr>
              <w:fldChar w:fldCharType="begin"/>
            </w:r>
            <w:r>
              <w:rPr>
                <w:noProof/>
                <w:webHidden/>
              </w:rPr>
              <w:instrText xml:space="preserve"> PAGEREF _Toc195287986 \h </w:instrText>
            </w:r>
            <w:r>
              <w:rPr>
                <w:noProof/>
                <w:webHidden/>
              </w:rPr>
            </w:r>
            <w:r>
              <w:rPr>
                <w:noProof/>
                <w:webHidden/>
              </w:rPr>
              <w:fldChar w:fldCharType="separate"/>
            </w:r>
            <w:r>
              <w:rPr>
                <w:noProof/>
                <w:webHidden/>
              </w:rPr>
              <w:t>20</w:t>
            </w:r>
            <w:r>
              <w:rPr>
                <w:noProof/>
                <w:webHidden/>
              </w:rPr>
              <w:fldChar w:fldCharType="end"/>
            </w:r>
          </w:hyperlink>
        </w:p>
        <w:p w14:paraId="19A93577" w14:textId="43557988" w:rsidR="00E35C94" w:rsidRDefault="00E35C94">
          <w:pPr>
            <w:pStyle w:val="TOC3"/>
            <w:tabs>
              <w:tab w:val="left" w:pos="1728"/>
            </w:tabs>
            <w:rPr>
              <w:rFonts w:asciiTheme="minorHAnsi" w:eastAsiaTheme="minorEastAsia" w:hAnsiTheme="minorHAnsi"/>
              <w:noProof/>
              <w:kern w:val="2"/>
              <w:sz w:val="24"/>
              <w:szCs w:val="24"/>
              <w14:ligatures w14:val="standardContextual"/>
            </w:rPr>
          </w:pPr>
          <w:hyperlink w:anchor="_Toc195287987" w:history="1">
            <w:r w:rsidRPr="00282503">
              <w:rPr>
                <w:rStyle w:val="Hyperlink"/>
                <w:rFonts w:eastAsia="Times New Roman"/>
                <w:noProof/>
              </w:rPr>
              <w:t>4.2.</w:t>
            </w:r>
            <w:r>
              <w:rPr>
                <w:rFonts w:asciiTheme="minorHAnsi" w:eastAsiaTheme="minorEastAsia" w:hAnsiTheme="minorHAnsi"/>
                <w:noProof/>
                <w:kern w:val="2"/>
                <w:sz w:val="24"/>
                <w:szCs w:val="24"/>
                <w14:ligatures w14:val="standardContextual"/>
              </w:rPr>
              <w:tab/>
            </w:r>
            <w:r w:rsidRPr="00282503">
              <w:rPr>
                <w:rStyle w:val="Hyperlink"/>
                <w:rFonts w:eastAsia="Times New Roman"/>
                <w:noProof/>
              </w:rPr>
              <w:t>ESA: Surgery in the elderly</w:t>
            </w:r>
            <w:r>
              <w:rPr>
                <w:noProof/>
                <w:webHidden/>
              </w:rPr>
              <w:tab/>
            </w:r>
            <w:r>
              <w:rPr>
                <w:noProof/>
                <w:webHidden/>
              </w:rPr>
              <w:fldChar w:fldCharType="begin"/>
            </w:r>
            <w:r>
              <w:rPr>
                <w:noProof/>
                <w:webHidden/>
              </w:rPr>
              <w:instrText xml:space="preserve"> PAGEREF _Toc195287987 \h </w:instrText>
            </w:r>
            <w:r>
              <w:rPr>
                <w:noProof/>
                <w:webHidden/>
              </w:rPr>
            </w:r>
            <w:r>
              <w:rPr>
                <w:noProof/>
                <w:webHidden/>
              </w:rPr>
              <w:fldChar w:fldCharType="separate"/>
            </w:r>
            <w:r>
              <w:rPr>
                <w:noProof/>
                <w:webHidden/>
              </w:rPr>
              <w:t>22</w:t>
            </w:r>
            <w:r>
              <w:rPr>
                <w:noProof/>
                <w:webHidden/>
              </w:rPr>
              <w:fldChar w:fldCharType="end"/>
            </w:r>
          </w:hyperlink>
        </w:p>
        <w:p w14:paraId="0B74E86E" w14:textId="6D1C2B8D" w:rsidR="00E35C94" w:rsidRDefault="00E35C94">
          <w:pPr>
            <w:pStyle w:val="TOC3"/>
            <w:tabs>
              <w:tab w:val="left" w:pos="1728"/>
            </w:tabs>
            <w:rPr>
              <w:rFonts w:asciiTheme="minorHAnsi" w:eastAsiaTheme="minorEastAsia" w:hAnsiTheme="minorHAnsi"/>
              <w:noProof/>
              <w:kern w:val="2"/>
              <w:sz w:val="24"/>
              <w:szCs w:val="24"/>
              <w14:ligatures w14:val="standardContextual"/>
            </w:rPr>
          </w:pPr>
          <w:hyperlink w:anchor="_Toc195287988" w:history="1">
            <w:r w:rsidRPr="00282503">
              <w:rPr>
                <w:rStyle w:val="Hyperlink"/>
                <w:rFonts w:eastAsia="Times New Roman"/>
                <w:noProof/>
              </w:rPr>
              <w:t>4.3.</w:t>
            </w:r>
            <w:r>
              <w:rPr>
                <w:rFonts w:asciiTheme="minorHAnsi" w:eastAsiaTheme="minorEastAsia" w:hAnsiTheme="minorHAnsi"/>
                <w:noProof/>
                <w:kern w:val="2"/>
                <w:sz w:val="24"/>
                <w:szCs w:val="24"/>
                <w14:ligatures w14:val="standardContextual"/>
              </w:rPr>
              <w:tab/>
            </w:r>
            <w:r w:rsidRPr="00282503">
              <w:rPr>
                <w:rStyle w:val="Hyperlink"/>
                <w:rFonts w:eastAsia="Times New Roman"/>
                <w:noProof/>
              </w:rPr>
              <w:t>ESA: Intensive care</w:t>
            </w:r>
            <w:r>
              <w:rPr>
                <w:noProof/>
                <w:webHidden/>
              </w:rPr>
              <w:tab/>
            </w:r>
            <w:r>
              <w:rPr>
                <w:noProof/>
                <w:webHidden/>
              </w:rPr>
              <w:fldChar w:fldCharType="begin"/>
            </w:r>
            <w:r>
              <w:rPr>
                <w:noProof/>
                <w:webHidden/>
              </w:rPr>
              <w:instrText xml:space="preserve"> PAGEREF _Toc195287988 \h </w:instrText>
            </w:r>
            <w:r>
              <w:rPr>
                <w:noProof/>
                <w:webHidden/>
              </w:rPr>
            </w:r>
            <w:r>
              <w:rPr>
                <w:noProof/>
                <w:webHidden/>
              </w:rPr>
              <w:fldChar w:fldCharType="separate"/>
            </w:r>
            <w:r>
              <w:rPr>
                <w:noProof/>
                <w:webHidden/>
              </w:rPr>
              <w:t>23</w:t>
            </w:r>
            <w:r>
              <w:rPr>
                <w:noProof/>
                <w:webHidden/>
              </w:rPr>
              <w:fldChar w:fldCharType="end"/>
            </w:r>
          </w:hyperlink>
        </w:p>
        <w:p w14:paraId="1F058168" w14:textId="4534A94F" w:rsidR="00E35C94" w:rsidRDefault="00E35C94">
          <w:pPr>
            <w:pStyle w:val="TOC3"/>
            <w:tabs>
              <w:tab w:val="left" w:pos="1728"/>
            </w:tabs>
            <w:rPr>
              <w:rFonts w:asciiTheme="minorHAnsi" w:eastAsiaTheme="minorEastAsia" w:hAnsiTheme="minorHAnsi"/>
              <w:noProof/>
              <w:kern w:val="2"/>
              <w:sz w:val="24"/>
              <w:szCs w:val="24"/>
              <w14:ligatures w14:val="standardContextual"/>
            </w:rPr>
          </w:pPr>
          <w:hyperlink w:anchor="_Toc195287989" w:history="1">
            <w:r w:rsidRPr="00282503">
              <w:rPr>
                <w:rStyle w:val="Hyperlink"/>
                <w:rFonts w:eastAsia="Times New Roman"/>
                <w:noProof/>
              </w:rPr>
              <w:t>4.4.</w:t>
            </w:r>
            <w:r>
              <w:rPr>
                <w:rFonts w:asciiTheme="minorHAnsi" w:eastAsiaTheme="minorEastAsia" w:hAnsiTheme="minorHAnsi"/>
                <w:noProof/>
                <w:kern w:val="2"/>
                <w:sz w:val="24"/>
                <w:szCs w:val="24"/>
                <w14:ligatures w14:val="standardContextual"/>
              </w:rPr>
              <w:tab/>
            </w:r>
            <w:r w:rsidRPr="00282503">
              <w:rPr>
                <w:rStyle w:val="Hyperlink"/>
                <w:rFonts w:eastAsia="Times New Roman"/>
                <w:noProof/>
              </w:rPr>
              <w:t>ESA: Cardiovascular and thoracic surgery</w:t>
            </w:r>
            <w:r>
              <w:rPr>
                <w:noProof/>
                <w:webHidden/>
              </w:rPr>
              <w:tab/>
            </w:r>
            <w:r>
              <w:rPr>
                <w:noProof/>
                <w:webHidden/>
              </w:rPr>
              <w:fldChar w:fldCharType="begin"/>
            </w:r>
            <w:r>
              <w:rPr>
                <w:noProof/>
                <w:webHidden/>
              </w:rPr>
              <w:instrText xml:space="preserve"> PAGEREF _Toc195287989 \h </w:instrText>
            </w:r>
            <w:r>
              <w:rPr>
                <w:noProof/>
                <w:webHidden/>
              </w:rPr>
            </w:r>
            <w:r>
              <w:rPr>
                <w:noProof/>
                <w:webHidden/>
              </w:rPr>
              <w:fldChar w:fldCharType="separate"/>
            </w:r>
            <w:r>
              <w:rPr>
                <w:noProof/>
                <w:webHidden/>
              </w:rPr>
              <w:t>25</w:t>
            </w:r>
            <w:r>
              <w:rPr>
                <w:noProof/>
                <w:webHidden/>
              </w:rPr>
              <w:fldChar w:fldCharType="end"/>
            </w:r>
          </w:hyperlink>
        </w:p>
        <w:p w14:paraId="31422429" w14:textId="06CA9146" w:rsidR="00E35C94" w:rsidRDefault="00E35C94">
          <w:pPr>
            <w:pStyle w:val="TOC3"/>
            <w:tabs>
              <w:tab w:val="left" w:pos="1728"/>
            </w:tabs>
            <w:rPr>
              <w:rFonts w:asciiTheme="minorHAnsi" w:eastAsiaTheme="minorEastAsia" w:hAnsiTheme="minorHAnsi"/>
              <w:noProof/>
              <w:kern w:val="2"/>
              <w:sz w:val="24"/>
              <w:szCs w:val="24"/>
              <w14:ligatures w14:val="standardContextual"/>
            </w:rPr>
          </w:pPr>
          <w:hyperlink w:anchor="_Toc195287990" w:history="1">
            <w:r w:rsidRPr="00282503">
              <w:rPr>
                <w:rStyle w:val="Hyperlink"/>
                <w:rFonts w:eastAsia="Times New Roman"/>
                <w:noProof/>
              </w:rPr>
              <w:t>4.5.</w:t>
            </w:r>
            <w:r>
              <w:rPr>
                <w:rFonts w:asciiTheme="minorHAnsi" w:eastAsiaTheme="minorEastAsia" w:hAnsiTheme="minorHAnsi"/>
                <w:noProof/>
                <w:kern w:val="2"/>
                <w:sz w:val="24"/>
                <w:szCs w:val="24"/>
                <w14:ligatures w14:val="standardContextual"/>
              </w:rPr>
              <w:tab/>
            </w:r>
            <w:r w:rsidRPr="00282503">
              <w:rPr>
                <w:rStyle w:val="Hyperlink"/>
                <w:rFonts w:eastAsia="Times New Roman"/>
                <w:noProof/>
              </w:rPr>
              <w:t>ESA: Neurosurgery</w:t>
            </w:r>
            <w:r>
              <w:rPr>
                <w:noProof/>
                <w:webHidden/>
              </w:rPr>
              <w:tab/>
            </w:r>
            <w:r>
              <w:rPr>
                <w:noProof/>
                <w:webHidden/>
              </w:rPr>
              <w:fldChar w:fldCharType="begin"/>
            </w:r>
            <w:r>
              <w:rPr>
                <w:noProof/>
                <w:webHidden/>
              </w:rPr>
              <w:instrText xml:space="preserve"> PAGEREF _Toc195287990 \h </w:instrText>
            </w:r>
            <w:r>
              <w:rPr>
                <w:noProof/>
                <w:webHidden/>
              </w:rPr>
            </w:r>
            <w:r>
              <w:rPr>
                <w:noProof/>
                <w:webHidden/>
              </w:rPr>
              <w:fldChar w:fldCharType="separate"/>
            </w:r>
            <w:r>
              <w:rPr>
                <w:noProof/>
                <w:webHidden/>
              </w:rPr>
              <w:t>27</w:t>
            </w:r>
            <w:r>
              <w:rPr>
                <w:noProof/>
                <w:webHidden/>
              </w:rPr>
              <w:fldChar w:fldCharType="end"/>
            </w:r>
          </w:hyperlink>
        </w:p>
        <w:p w14:paraId="51720745" w14:textId="64C4D836" w:rsidR="00E35C94" w:rsidRDefault="00E35C94">
          <w:pPr>
            <w:pStyle w:val="TOC3"/>
            <w:tabs>
              <w:tab w:val="left" w:pos="1728"/>
            </w:tabs>
            <w:rPr>
              <w:rFonts w:asciiTheme="minorHAnsi" w:eastAsiaTheme="minorEastAsia" w:hAnsiTheme="minorHAnsi"/>
              <w:noProof/>
              <w:kern w:val="2"/>
              <w:sz w:val="24"/>
              <w:szCs w:val="24"/>
              <w14:ligatures w14:val="standardContextual"/>
            </w:rPr>
          </w:pPr>
          <w:hyperlink w:anchor="_Toc195287991" w:history="1">
            <w:r w:rsidRPr="00282503">
              <w:rPr>
                <w:rStyle w:val="Hyperlink"/>
                <w:rFonts w:eastAsia="Times New Roman"/>
                <w:noProof/>
              </w:rPr>
              <w:t>4.6.</w:t>
            </w:r>
            <w:r>
              <w:rPr>
                <w:rFonts w:asciiTheme="minorHAnsi" w:eastAsiaTheme="minorEastAsia" w:hAnsiTheme="minorHAnsi"/>
                <w:noProof/>
                <w:kern w:val="2"/>
                <w:sz w:val="24"/>
                <w:szCs w:val="24"/>
                <w14:ligatures w14:val="standardContextual"/>
              </w:rPr>
              <w:tab/>
            </w:r>
            <w:r w:rsidRPr="00282503">
              <w:rPr>
                <w:rStyle w:val="Hyperlink"/>
                <w:rFonts w:eastAsia="Times New Roman"/>
                <w:noProof/>
              </w:rPr>
              <w:t>ESA: Chronic treatments with anti-platelet agents</w:t>
            </w:r>
            <w:r>
              <w:rPr>
                <w:noProof/>
                <w:webHidden/>
              </w:rPr>
              <w:tab/>
            </w:r>
            <w:r>
              <w:rPr>
                <w:noProof/>
                <w:webHidden/>
              </w:rPr>
              <w:fldChar w:fldCharType="begin"/>
            </w:r>
            <w:r>
              <w:rPr>
                <w:noProof/>
                <w:webHidden/>
              </w:rPr>
              <w:instrText xml:space="preserve"> PAGEREF _Toc195287991 \h </w:instrText>
            </w:r>
            <w:r>
              <w:rPr>
                <w:noProof/>
                <w:webHidden/>
              </w:rPr>
            </w:r>
            <w:r>
              <w:rPr>
                <w:noProof/>
                <w:webHidden/>
              </w:rPr>
              <w:fldChar w:fldCharType="separate"/>
            </w:r>
            <w:r>
              <w:rPr>
                <w:noProof/>
                <w:webHidden/>
              </w:rPr>
              <w:t>29</w:t>
            </w:r>
            <w:r>
              <w:rPr>
                <w:noProof/>
                <w:webHidden/>
              </w:rPr>
              <w:fldChar w:fldCharType="end"/>
            </w:r>
          </w:hyperlink>
        </w:p>
        <w:p w14:paraId="1E8DBBC2" w14:textId="472E8086" w:rsidR="00E35C94" w:rsidRDefault="00E35C94">
          <w:pPr>
            <w:pStyle w:val="TOC3"/>
            <w:tabs>
              <w:tab w:val="left" w:pos="1728"/>
            </w:tabs>
            <w:rPr>
              <w:rFonts w:asciiTheme="minorHAnsi" w:eastAsiaTheme="minorEastAsia" w:hAnsiTheme="minorHAnsi"/>
              <w:noProof/>
              <w:kern w:val="2"/>
              <w:sz w:val="24"/>
              <w:szCs w:val="24"/>
              <w14:ligatures w14:val="standardContextual"/>
            </w:rPr>
          </w:pPr>
          <w:hyperlink w:anchor="_Toc195287992" w:history="1">
            <w:r w:rsidRPr="00282503">
              <w:rPr>
                <w:rStyle w:val="Hyperlink"/>
                <w:rFonts w:eastAsia="Times New Roman" w:cstheme="minorHAnsi"/>
                <w:noProof/>
              </w:rPr>
              <w:t>4.7.</w:t>
            </w:r>
            <w:r>
              <w:rPr>
                <w:rFonts w:asciiTheme="minorHAnsi" w:eastAsiaTheme="minorEastAsia" w:hAnsiTheme="minorHAnsi"/>
                <w:noProof/>
                <w:kern w:val="2"/>
                <w:sz w:val="24"/>
                <w:szCs w:val="24"/>
                <w14:ligatures w14:val="standardContextual"/>
              </w:rPr>
              <w:tab/>
            </w:r>
            <w:r w:rsidRPr="00282503">
              <w:rPr>
                <w:rStyle w:val="Hyperlink"/>
                <w:rFonts w:eastAsia="Times New Roman" w:cstheme="minorHAnsi"/>
                <w:noProof/>
              </w:rPr>
              <w:t>ESA: Patients with pre-existing coagulation disorders and after severe perioperative bleeding</w:t>
            </w:r>
            <w:r>
              <w:rPr>
                <w:noProof/>
                <w:webHidden/>
              </w:rPr>
              <w:tab/>
            </w:r>
            <w:r>
              <w:rPr>
                <w:noProof/>
                <w:webHidden/>
              </w:rPr>
              <w:fldChar w:fldCharType="begin"/>
            </w:r>
            <w:r>
              <w:rPr>
                <w:noProof/>
                <w:webHidden/>
              </w:rPr>
              <w:instrText xml:space="preserve"> PAGEREF _Toc195287992 \h </w:instrText>
            </w:r>
            <w:r>
              <w:rPr>
                <w:noProof/>
                <w:webHidden/>
              </w:rPr>
            </w:r>
            <w:r>
              <w:rPr>
                <w:noProof/>
                <w:webHidden/>
              </w:rPr>
              <w:fldChar w:fldCharType="separate"/>
            </w:r>
            <w:r>
              <w:rPr>
                <w:noProof/>
                <w:webHidden/>
              </w:rPr>
              <w:t>30</w:t>
            </w:r>
            <w:r>
              <w:rPr>
                <w:noProof/>
                <w:webHidden/>
              </w:rPr>
              <w:fldChar w:fldCharType="end"/>
            </w:r>
          </w:hyperlink>
        </w:p>
        <w:p w14:paraId="3E68C536" w14:textId="663E7C28" w:rsidR="00E35C94" w:rsidRDefault="00E35C94">
          <w:pPr>
            <w:pStyle w:val="TOC3"/>
            <w:tabs>
              <w:tab w:val="left" w:pos="1728"/>
            </w:tabs>
            <w:rPr>
              <w:rFonts w:asciiTheme="minorHAnsi" w:eastAsiaTheme="minorEastAsia" w:hAnsiTheme="minorHAnsi"/>
              <w:noProof/>
              <w:kern w:val="2"/>
              <w:sz w:val="24"/>
              <w:szCs w:val="24"/>
              <w14:ligatures w14:val="standardContextual"/>
            </w:rPr>
          </w:pPr>
          <w:hyperlink w:anchor="_Toc195287993" w:history="1">
            <w:r w:rsidRPr="00282503">
              <w:rPr>
                <w:rStyle w:val="Hyperlink"/>
                <w:rFonts w:eastAsia="Times New Roman"/>
                <w:noProof/>
              </w:rPr>
              <w:t>4.8.</w:t>
            </w:r>
            <w:r>
              <w:rPr>
                <w:rFonts w:asciiTheme="minorHAnsi" w:eastAsiaTheme="minorEastAsia" w:hAnsiTheme="minorHAnsi"/>
                <w:noProof/>
                <w:kern w:val="2"/>
                <w:sz w:val="24"/>
                <w:szCs w:val="24"/>
                <w14:ligatures w14:val="standardContextual"/>
              </w:rPr>
              <w:tab/>
            </w:r>
            <w:r w:rsidRPr="00282503">
              <w:rPr>
                <w:rStyle w:val="Hyperlink"/>
                <w:rFonts w:eastAsia="Times New Roman"/>
                <w:noProof/>
              </w:rPr>
              <w:t>ESA: Inferior vena cava filters</w:t>
            </w:r>
            <w:r>
              <w:rPr>
                <w:noProof/>
                <w:webHidden/>
              </w:rPr>
              <w:tab/>
            </w:r>
            <w:r>
              <w:rPr>
                <w:noProof/>
                <w:webHidden/>
              </w:rPr>
              <w:fldChar w:fldCharType="begin"/>
            </w:r>
            <w:r>
              <w:rPr>
                <w:noProof/>
                <w:webHidden/>
              </w:rPr>
              <w:instrText xml:space="preserve"> PAGEREF _Toc195287993 \h </w:instrText>
            </w:r>
            <w:r>
              <w:rPr>
                <w:noProof/>
                <w:webHidden/>
              </w:rPr>
            </w:r>
            <w:r>
              <w:rPr>
                <w:noProof/>
                <w:webHidden/>
              </w:rPr>
              <w:fldChar w:fldCharType="separate"/>
            </w:r>
            <w:r>
              <w:rPr>
                <w:noProof/>
                <w:webHidden/>
              </w:rPr>
              <w:t>33</w:t>
            </w:r>
            <w:r>
              <w:rPr>
                <w:noProof/>
                <w:webHidden/>
              </w:rPr>
              <w:fldChar w:fldCharType="end"/>
            </w:r>
          </w:hyperlink>
        </w:p>
        <w:p w14:paraId="54628A3F" w14:textId="7A2880B9" w:rsidR="00E35C94" w:rsidRDefault="00E35C94">
          <w:pPr>
            <w:pStyle w:val="TOC3"/>
            <w:tabs>
              <w:tab w:val="left" w:pos="1728"/>
            </w:tabs>
            <w:rPr>
              <w:rFonts w:asciiTheme="minorHAnsi" w:eastAsiaTheme="minorEastAsia" w:hAnsiTheme="minorHAnsi"/>
              <w:noProof/>
              <w:kern w:val="2"/>
              <w:sz w:val="24"/>
              <w:szCs w:val="24"/>
              <w14:ligatures w14:val="standardContextual"/>
            </w:rPr>
          </w:pPr>
          <w:hyperlink w:anchor="_Toc195287994" w:history="1">
            <w:r w:rsidRPr="00282503">
              <w:rPr>
                <w:rStyle w:val="Hyperlink"/>
                <w:rFonts w:eastAsia="MS Gothic"/>
                <w:noProof/>
              </w:rPr>
              <w:t>4.9.</w:t>
            </w:r>
            <w:r>
              <w:rPr>
                <w:rFonts w:asciiTheme="minorHAnsi" w:eastAsiaTheme="minorEastAsia" w:hAnsiTheme="minorHAnsi"/>
                <w:noProof/>
                <w:kern w:val="2"/>
                <w:sz w:val="24"/>
                <w:szCs w:val="24"/>
                <w14:ligatures w14:val="standardContextual"/>
              </w:rPr>
              <w:tab/>
            </w:r>
            <w:r w:rsidRPr="00282503">
              <w:rPr>
                <w:rStyle w:val="Hyperlink"/>
                <w:rFonts w:eastAsia="Times New Roman"/>
                <w:noProof/>
              </w:rPr>
              <w:t>ESA. Nonambulatory orthopaedic surgery</w:t>
            </w:r>
            <w:r>
              <w:rPr>
                <w:noProof/>
                <w:webHidden/>
              </w:rPr>
              <w:tab/>
            </w:r>
            <w:r>
              <w:rPr>
                <w:noProof/>
                <w:webHidden/>
              </w:rPr>
              <w:fldChar w:fldCharType="begin"/>
            </w:r>
            <w:r>
              <w:rPr>
                <w:noProof/>
                <w:webHidden/>
              </w:rPr>
              <w:instrText xml:space="preserve"> PAGEREF _Toc195287994 \h </w:instrText>
            </w:r>
            <w:r>
              <w:rPr>
                <w:noProof/>
                <w:webHidden/>
              </w:rPr>
            </w:r>
            <w:r>
              <w:rPr>
                <w:noProof/>
                <w:webHidden/>
              </w:rPr>
              <w:fldChar w:fldCharType="separate"/>
            </w:r>
            <w:r>
              <w:rPr>
                <w:noProof/>
                <w:webHidden/>
              </w:rPr>
              <w:t>33</w:t>
            </w:r>
            <w:r>
              <w:rPr>
                <w:noProof/>
                <w:webHidden/>
              </w:rPr>
              <w:fldChar w:fldCharType="end"/>
            </w:r>
          </w:hyperlink>
        </w:p>
        <w:p w14:paraId="635E86B9" w14:textId="0DC73B96" w:rsidR="00E35C94" w:rsidRDefault="00E35C94">
          <w:pPr>
            <w:pStyle w:val="TOC2"/>
            <w:tabs>
              <w:tab w:val="left" w:pos="864"/>
            </w:tabs>
            <w:rPr>
              <w:rFonts w:asciiTheme="minorHAnsi" w:eastAsiaTheme="minorEastAsia" w:hAnsiTheme="minorHAnsi"/>
              <w:noProof/>
              <w:kern w:val="2"/>
              <w:sz w:val="24"/>
              <w:szCs w:val="24"/>
              <w14:ligatures w14:val="standardContextual"/>
            </w:rPr>
          </w:pPr>
          <w:hyperlink w:anchor="_Toc195287995" w:history="1">
            <w:r w:rsidRPr="00282503">
              <w:rPr>
                <w:rStyle w:val="Hyperlink"/>
                <w:rFonts w:eastAsia="MS Gothic"/>
                <w:noProof/>
              </w:rPr>
              <w:t>6.</w:t>
            </w:r>
            <w:r>
              <w:rPr>
                <w:rFonts w:asciiTheme="minorHAnsi" w:eastAsiaTheme="minorEastAsia" w:hAnsiTheme="minorHAnsi"/>
                <w:noProof/>
                <w:kern w:val="2"/>
                <w:sz w:val="24"/>
                <w:szCs w:val="24"/>
                <w14:ligatures w14:val="standardContextual"/>
              </w:rPr>
              <w:tab/>
            </w:r>
            <w:r w:rsidRPr="00282503">
              <w:rPr>
                <w:rStyle w:val="Hyperlink"/>
                <w:rFonts w:eastAsia="MS Gothic"/>
                <w:noProof/>
              </w:rPr>
              <w:t>American Society of Clinical Oncology: 2023 Guideline Update</w:t>
            </w:r>
            <w:r>
              <w:rPr>
                <w:noProof/>
                <w:webHidden/>
              </w:rPr>
              <w:tab/>
            </w:r>
            <w:r>
              <w:rPr>
                <w:noProof/>
                <w:webHidden/>
              </w:rPr>
              <w:fldChar w:fldCharType="begin"/>
            </w:r>
            <w:r>
              <w:rPr>
                <w:noProof/>
                <w:webHidden/>
              </w:rPr>
              <w:instrText xml:space="preserve"> PAGEREF _Toc195287995 \h </w:instrText>
            </w:r>
            <w:r>
              <w:rPr>
                <w:noProof/>
                <w:webHidden/>
              </w:rPr>
            </w:r>
            <w:r>
              <w:rPr>
                <w:noProof/>
                <w:webHidden/>
              </w:rPr>
              <w:fldChar w:fldCharType="separate"/>
            </w:r>
            <w:r>
              <w:rPr>
                <w:noProof/>
                <w:webHidden/>
              </w:rPr>
              <w:t>35</w:t>
            </w:r>
            <w:r>
              <w:rPr>
                <w:noProof/>
                <w:webHidden/>
              </w:rPr>
              <w:fldChar w:fldCharType="end"/>
            </w:r>
          </w:hyperlink>
        </w:p>
        <w:p w14:paraId="759C489B" w14:textId="3C63605E" w:rsidR="00986E71" w:rsidRDefault="00986E71">
          <w:r>
            <w:rPr>
              <w:b/>
              <w:bCs/>
              <w:noProof/>
            </w:rPr>
            <w:fldChar w:fldCharType="end"/>
          </w:r>
        </w:p>
      </w:sdtContent>
    </w:sdt>
    <w:p w14:paraId="2953A3F3" w14:textId="77777777" w:rsidR="00095BBA" w:rsidRDefault="00095BBA" w:rsidP="006C686D">
      <w:pPr>
        <w:pStyle w:val="Paragraph"/>
      </w:pPr>
    </w:p>
    <w:p w14:paraId="56E6D838" w14:textId="77777777" w:rsidR="002A4216" w:rsidRDefault="002A4216" w:rsidP="006C686D">
      <w:pPr>
        <w:pStyle w:val="Paragraph"/>
        <w:sectPr w:rsidR="002A4216" w:rsidSect="00502E9A">
          <w:headerReference w:type="default" r:id="rId16"/>
          <w:footerReference w:type="default" r:id="rId17"/>
          <w:headerReference w:type="first" r:id="rId18"/>
          <w:footerReference w:type="first" r:id="rId19"/>
          <w:pgSz w:w="12240" w:h="15840" w:code="1"/>
          <w:pgMar w:top="1440" w:right="1440" w:bottom="1440" w:left="1440" w:header="720" w:footer="720" w:gutter="0"/>
          <w:pgNumType w:fmt="lowerRoman" w:start="3"/>
          <w:cols w:space="360"/>
          <w:titlePg/>
          <w:docGrid w:linePitch="299"/>
        </w:sectPr>
      </w:pPr>
    </w:p>
    <w:p w14:paraId="0BB8269C" w14:textId="04B1B7F6" w:rsidR="006C686D" w:rsidRPr="00FC54B6" w:rsidRDefault="00FC54B6" w:rsidP="003A086B">
      <w:pPr>
        <w:pStyle w:val="H1"/>
      </w:pPr>
      <w:bookmarkStart w:id="1" w:name="_Toc195287980"/>
      <w:r w:rsidRPr="00FC54B6">
        <w:lastRenderedPageBreak/>
        <w:t>Clinical Guidelines</w:t>
      </w:r>
      <w:bookmarkEnd w:id="1"/>
      <w:r w:rsidRPr="00FC54B6">
        <w:t xml:space="preserve"> </w:t>
      </w:r>
      <w:r w:rsidR="00EB5C43">
        <w:tab/>
      </w:r>
    </w:p>
    <w:p w14:paraId="3D2D0505" w14:textId="70A5CB15" w:rsidR="00EA5BE0" w:rsidRPr="00EA5BE0" w:rsidRDefault="00FC54B6" w:rsidP="00490358">
      <w:pPr>
        <w:pStyle w:val="H2"/>
        <w:rPr>
          <w:rFonts w:eastAsia="Times New Roman"/>
        </w:rPr>
      </w:pPr>
      <w:bookmarkStart w:id="2" w:name="_Toc195287981"/>
      <w:r>
        <w:rPr>
          <w:rFonts w:eastAsia="Times New Roman"/>
        </w:rPr>
        <w:t xml:space="preserve">1. </w:t>
      </w:r>
      <w:r w:rsidR="00D822AD">
        <w:rPr>
          <w:rFonts w:eastAsia="Times New Roman"/>
        </w:rPr>
        <w:tab/>
      </w:r>
      <w:r w:rsidR="00EA5BE0" w:rsidRPr="00EA5BE0">
        <w:rPr>
          <w:rFonts w:eastAsia="Times New Roman"/>
        </w:rPr>
        <w:t>American College of Chest Physicians (</w:t>
      </w:r>
      <w:r w:rsidR="00984D94">
        <w:rPr>
          <w:rFonts w:eastAsia="Times New Roman"/>
        </w:rPr>
        <w:t>ACCP/</w:t>
      </w:r>
      <w:r w:rsidR="00EA5BE0" w:rsidRPr="00EA5BE0">
        <w:rPr>
          <w:rFonts w:eastAsia="Times New Roman"/>
        </w:rPr>
        <w:t>CHEST): 2012</w:t>
      </w:r>
      <w:r w:rsidR="00B16F07">
        <w:rPr>
          <w:rFonts w:eastAsia="Times New Roman"/>
        </w:rPr>
        <w:t xml:space="preserve"> Guidelines for </w:t>
      </w:r>
      <w:r w:rsidR="00490358" w:rsidRPr="00490358">
        <w:rPr>
          <w:rFonts w:eastAsia="Times New Roman"/>
        </w:rPr>
        <w:t>Prevention of VTE in Nonorthopedic Surgical Patients</w:t>
      </w:r>
      <w:bookmarkEnd w:id="2"/>
    </w:p>
    <w:p w14:paraId="03266D6F" w14:textId="77777777" w:rsidR="00EA5BE0" w:rsidRPr="0013659F" w:rsidRDefault="00EA5BE0" w:rsidP="00D822AD">
      <w:pPr>
        <w:pStyle w:val="Paragraph"/>
        <w:rPr>
          <w:rStyle w:val="Hyperlink"/>
        </w:rPr>
      </w:pPr>
      <w:hyperlink r:id="rId20">
        <w:r w:rsidRPr="0013659F">
          <w:rPr>
            <w:rStyle w:val="Hyperlink"/>
          </w:rPr>
          <w:t>Gould, M. K., Garcia, D. A., Wren, S. M., Karanicolas, P. J., Arcelus, J. I., Heit, J. A., &amp; Samama, C. M. (2012). Prevention of VTE in nonorthopedic surgical patients. Antithrombotic therapy and prevention of thrombosis, 9th ed: American College of Chest Physicians evidence-based clinical practice guidelines. Chest, 141(2), e227S-e277S. https://doi.org/10.1378/chest.11-2297</w:t>
        </w:r>
      </w:hyperlink>
    </w:p>
    <w:p w14:paraId="7440DBEA" w14:textId="2917EEB8" w:rsidR="00EA5BE0" w:rsidRPr="002A3308" w:rsidRDefault="00EA5BE0" w:rsidP="00D822AD">
      <w:pPr>
        <w:pStyle w:val="Paragraph"/>
      </w:pPr>
      <w:r w:rsidRPr="002A3308">
        <w:t xml:space="preserve">The American College of Chest Physicians (ACCP/CHEST) provide guidance via clinical practice recommendations for the prevention of </w:t>
      </w:r>
      <w:r w:rsidR="001444D9">
        <w:t>venous thromboembolism (</w:t>
      </w:r>
      <w:r w:rsidRPr="002A3308">
        <w:t>VTE</w:t>
      </w:r>
      <w:r w:rsidR="001444D9">
        <w:t>)</w:t>
      </w:r>
      <w:r w:rsidRPr="002A3308">
        <w:t xml:space="preserve"> in nonorthopedic surgical patients. This guideline is based on a systematic review of the literature. The outcomes assessed include death from any cause, fatal pulmonary embolism</w:t>
      </w:r>
      <w:r w:rsidR="001444D9">
        <w:t xml:space="preserve"> (PE)</w:t>
      </w:r>
      <w:r w:rsidRPr="002A3308">
        <w:t xml:space="preserve">; objectively confirmed, nonfatal, symptomatic PE and </w:t>
      </w:r>
      <w:r w:rsidR="00B94E67">
        <w:t>deep vein thrombosis (</w:t>
      </w:r>
      <w:r w:rsidRPr="002A3308">
        <w:t>DVT</w:t>
      </w:r>
      <w:r w:rsidR="00B94E67">
        <w:t>)</w:t>
      </w:r>
      <w:r w:rsidRPr="002A3308">
        <w:t xml:space="preserve">; fatal bleeding; bleeding requiring reoperation; and other bleeding. </w:t>
      </w:r>
    </w:p>
    <w:p w14:paraId="7741A0BC" w14:textId="15093382" w:rsidR="00EA5BE0" w:rsidRPr="002A3308" w:rsidRDefault="00EA5BE0" w:rsidP="003A086B">
      <w:pPr>
        <w:pStyle w:val="Paragraph"/>
      </w:pPr>
      <w:r w:rsidRPr="002A3308">
        <w:t xml:space="preserve">The methodology for determining strength of recommendations </w:t>
      </w:r>
      <w:r w:rsidRPr="00C02770">
        <w:t>(</w:t>
      </w:r>
      <w:r w:rsidRPr="00C02770">
        <w:rPr>
          <w:b/>
          <w:bCs/>
        </w:rPr>
        <w:t>Table 1</w:t>
      </w:r>
      <w:r w:rsidRPr="002A3308">
        <w:t>) and strength of evidence (</w:t>
      </w:r>
      <w:r w:rsidRPr="00C02770">
        <w:rPr>
          <w:b/>
          <w:bCs/>
        </w:rPr>
        <w:t>Tables 2 and 3</w:t>
      </w:r>
      <w:r w:rsidRPr="002A3308">
        <w:t>) was adopted from the classification developed by the GRADE (Grading of Recommendations Assessment, Development, and Evaluation) workgroup and is presented below, followed by key guideline recommendation statements that inform the proposed measure (</w:t>
      </w:r>
      <w:r w:rsidRPr="00C02770">
        <w:rPr>
          <w:b/>
          <w:bCs/>
        </w:rPr>
        <w:t>Table 4</w:t>
      </w:r>
      <w:r w:rsidRPr="002A3308">
        <w:t xml:space="preserve">). </w:t>
      </w:r>
    </w:p>
    <w:p w14:paraId="094F72C1" w14:textId="524A2E8D" w:rsidR="00EA5BE0" w:rsidRPr="006C7E09" w:rsidRDefault="00EA5BE0" w:rsidP="00B47257">
      <w:pPr>
        <w:pStyle w:val="Paragraph"/>
        <w:rPr>
          <w:rFonts w:ascii="Calibri" w:eastAsia="Calibri" w:hAnsi="Calibri" w:cs="Calibri"/>
          <w:b/>
          <w:bCs/>
          <w:sz w:val="12"/>
          <w:szCs w:val="8"/>
        </w:rPr>
      </w:pPr>
      <w:r w:rsidRPr="002A3308">
        <w:t>Within each recommendation, the strength of recommendation is indicated as strong recommendation (1), or weak/conditional recommendation</w:t>
      </w:r>
      <w:r w:rsidR="003A086B">
        <w:t> </w:t>
      </w:r>
      <w:r w:rsidRPr="002A3308">
        <w:t>(2).</w:t>
      </w:r>
    </w:p>
    <w:p w14:paraId="2A9AA0B6" w14:textId="7E452986" w:rsidR="00EA5BE0" w:rsidRPr="00EA5BE0" w:rsidRDefault="00EA5BE0" w:rsidP="00BD061C">
      <w:pPr>
        <w:pStyle w:val="TableTitle"/>
        <w:rPr>
          <w:rFonts w:ascii="Calibri" w:eastAsia="Calibri" w:hAnsi="Calibri" w:cs="Calibri"/>
          <w:sz w:val="12"/>
          <w:szCs w:val="8"/>
        </w:rPr>
      </w:pPr>
      <w:bookmarkStart w:id="3" w:name="Table1"/>
      <w:r w:rsidRPr="003A086B">
        <w:rPr>
          <w:b/>
          <w:bCs/>
        </w:rPr>
        <w:t>Table 1</w:t>
      </w:r>
      <w:r w:rsidR="003A086B">
        <w:t>.</w:t>
      </w:r>
      <w:r w:rsidRPr="006C7E09">
        <w:t xml:space="preserve"> </w:t>
      </w:r>
      <w:r w:rsidR="00D802A6">
        <w:t>ACCP/</w:t>
      </w:r>
      <w:r w:rsidRPr="006C7E09">
        <w:t>CHEST (2012)</w:t>
      </w:r>
      <w:r w:rsidR="00B22E7F">
        <w:t xml:space="preserve"> </w:t>
      </w:r>
      <w:r w:rsidRPr="006C7E09">
        <w:t>Strength of Recommendation Criteria (GRADE)</w:t>
      </w:r>
      <w:bookmarkEnd w:id="3"/>
    </w:p>
    <w:tbl>
      <w:tblPr>
        <w:tblStyle w:val="AlternateTable"/>
        <w:tblW w:w="5000" w:type="pct"/>
        <w:tblLook w:val="04A0" w:firstRow="1" w:lastRow="0" w:firstColumn="1" w:lastColumn="0" w:noHBand="0" w:noVBand="1"/>
      </w:tblPr>
      <w:tblGrid>
        <w:gridCol w:w="2612"/>
        <w:gridCol w:w="2882"/>
        <w:gridCol w:w="7466"/>
      </w:tblGrid>
      <w:tr w:rsidR="00EA5BE0" w:rsidRPr="00EA5BE0" w14:paraId="7EBF2B70" w14:textId="77777777" w:rsidTr="00EB7E5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10" w:type="dxa"/>
            <w:vAlign w:val="bottom"/>
          </w:tcPr>
          <w:p w14:paraId="09143133" w14:textId="77777777" w:rsidR="00EA5BE0" w:rsidRPr="00EA5BE0" w:rsidRDefault="00EA5BE0" w:rsidP="003A086B">
            <w:pPr>
              <w:pStyle w:val="TableHeaderLeft"/>
              <w:rPr>
                <w:b w:val="0"/>
              </w:rPr>
            </w:pPr>
            <w:r w:rsidRPr="00EA5BE0">
              <w:t>Recommendation Grading</w:t>
            </w:r>
          </w:p>
        </w:tc>
        <w:tc>
          <w:tcPr>
            <w:tcW w:w="2880" w:type="dxa"/>
            <w:vAlign w:val="bottom"/>
            <w:hideMark/>
          </w:tcPr>
          <w:p w14:paraId="66B02527" w14:textId="77777777" w:rsidR="00EA5BE0" w:rsidRPr="00EA5BE0" w:rsidRDefault="00EA5BE0" w:rsidP="003A086B">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Meaning</w:t>
            </w:r>
          </w:p>
        </w:tc>
        <w:tc>
          <w:tcPr>
            <w:tcW w:w="7460" w:type="dxa"/>
            <w:vAlign w:val="bottom"/>
            <w:hideMark/>
          </w:tcPr>
          <w:p w14:paraId="0E8E28C8" w14:textId="77777777" w:rsidR="00EA5BE0" w:rsidRPr="00EA5BE0" w:rsidRDefault="00EA5BE0" w:rsidP="003A086B">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Rationale</w:t>
            </w:r>
          </w:p>
        </w:tc>
      </w:tr>
      <w:tr w:rsidR="00EA5BE0" w:rsidRPr="00EA5BE0" w14:paraId="2952C96F" w14:textId="77777777" w:rsidTr="00EB7E54">
        <w:tc>
          <w:tcPr>
            <w:cnfStyle w:val="001000000000" w:firstRow="0" w:lastRow="0" w:firstColumn="1" w:lastColumn="0" w:oddVBand="0" w:evenVBand="0" w:oddHBand="0" w:evenHBand="0" w:firstRowFirstColumn="0" w:firstRowLastColumn="0" w:lastRowFirstColumn="0" w:lastRowLastColumn="0"/>
            <w:tcW w:w="2610" w:type="dxa"/>
          </w:tcPr>
          <w:p w14:paraId="06F25D07" w14:textId="77777777" w:rsidR="00EA5BE0" w:rsidRPr="00EA5BE0" w:rsidRDefault="00EA5BE0" w:rsidP="003A086B">
            <w:pPr>
              <w:pStyle w:val="TableTextLeft"/>
            </w:pPr>
            <w:r w:rsidRPr="00EA5BE0">
              <w:t>1</w:t>
            </w:r>
          </w:p>
        </w:tc>
        <w:tc>
          <w:tcPr>
            <w:tcW w:w="2880" w:type="dxa"/>
          </w:tcPr>
          <w:p w14:paraId="1AE79A68" w14:textId="77777777" w:rsidR="00EA5BE0" w:rsidRPr="00EA5BE0" w:rsidRDefault="00EA5BE0" w:rsidP="003A086B">
            <w:pPr>
              <w:pStyle w:val="TableTextLeft"/>
              <w:cnfStyle w:val="000000000000" w:firstRow="0" w:lastRow="0" w:firstColumn="0" w:lastColumn="0" w:oddVBand="0" w:evenVBand="0" w:oddHBand="0" w:evenHBand="0" w:firstRowFirstColumn="0" w:firstRowLastColumn="0" w:lastRowFirstColumn="0" w:lastRowLastColumn="0"/>
            </w:pPr>
            <w:r w:rsidRPr="00EA5BE0">
              <w:t>Strong</w:t>
            </w:r>
          </w:p>
        </w:tc>
        <w:tc>
          <w:tcPr>
            <w:tcW w:w="7460" w:type="dxa"/>
          </w:tcPr>
          <w:p w14:paraId="421B387C" w14:textId="77777777" w:rsidR="00EA5BE0" w:rsidRPr="00EA5BE0" w:rsidRDefault="00EA5BE0" w:rsidP="003A086B">
            <w:pPr>
              <w:pStyle w:val="TableTextLeft"/>
              <w:cnfStyle w:val="000000000000" w:firstRow="0" w:lastRow="0" w:firstColumn="0" w:lastColumn="0" w:oddVBand="0" w:evenVBand="0" w:oddHBand="0" w:evenHBand="0" w:firstRowFirstColumn="0" w:firstRowLastColumn="0" w:lastRowFirstColumn="0" w:lastRowLastColumn="0"/>
            </w:pPr>
            <w:r w:rsidRPr="00EA5BE0">
              <w:rPr>
                <w:rFonts w:eastAsia="Calibri"/>
                <w:shd w:val="clear" w:color="auto" w:fill="FFFFFF"/>
              </w:rPr>
              <w:t>The panel is highly confident of the balance between desirable and undesirable consequences. </w:t>
            </w:r>
          </w:p>
        </w:tc>
      </w:tr>
      <w:tr w:rsidR="00EA5BE0" w:rsidRPr="00EA5BE0" w14:paraId="222A9D92" w14:textId="77777777" w:rsidTr="00EB7E54">
        <w:tc>
          <w:tcPr>
            <w:cnfStyle w:val="001000000000" w:firstRow="0" w:lastRow="0" w:firstColumn="1" w:lastColumn="0" w:oddVBand="0" w:evenVBand="0" w:oddHBand="0" w:evenHBand="0" w:firstRowFirstColumn="0" w:firstRowLastColumn="0" w:lastRowFirstColumn="0" w:lastRowLastColumn="0"/>
            <w:tcW w:w="2610" w:type="dxa"/>
          </w:tcPr>
          <w:p w14:paraId="68067FBD" w14:textId="77777777" w:rsidR="00EA5BE0" w:rsidRPr="00EA5BE0" w:rsidRDefault="00EA5BE0" w:rsidP="003A086B">
            <w:pPr>
              <w:pStyle w:val="TableTextLeft"/>
            </w:pPr>
            <w:r w:rsidRPr="00EA5BE0">
              <w:t>2</w:t>
            </w:r>
          </w:p>
        </w:tc>
        <w:tc>
          <w:tcPr>
            <w:tcW w:w="2880" w:type="dxa"/>
          </w:tcPr>
          <w:p w14:paraId="5C5F5C63" w14:textId="77777777" w:rsidR="00EA5BE0" w:rsidRPr="00EA5BE0" w:rsidRDefault="00EA5BE0" w:rsidP="003A086B">
            <w:pPr>
              <w:pStyle w:val="TableTextLeft"/>
              <w:cnfStyle w:val="000000000000" w:firstRow="0" w:lastRow="0" w:firstColumn="0" w:lastColumn="0" w:oddVBand="0" w:evenVBand="0" w:oddHBand="0" w:evenHBand="0" w:firstRowFirstColumn="0" w:firstRowLastColumn="0" w:lastRowFirstColumn="0" w:lastRowLastColumn="0"/>
            </w:pPr>
            <w:r w:rsidRPr="00EA5BE0">
              <w:t>Weak/Conditional</w:t>
            </w:r>
          </w:p>
        </w:tc>
        <w:tc>
          <w:tcPr>
            <w:tcW w:w="7460" w:type="dxa"/>
          </w:tcPr>
          <w:p w14:paraId="51681CED" w14:textId="77777777" w:rsidR="00EA5BE0" w:rsidRPr="00EA5BE0" w:rsidRDefault="00EA5BE0" w:rsidP="003A086B">
            <w:pPr>
              <w:pStyle w:val="TableTextLeft"/>
              <w:cnfStyle w:val="000000000000" w:firstRow="0" w:lastRow="0" w:firstColumn="0" w:lastColumn="0" w:oddVBand="0" w:evenVBand="0" w:oddHBand="0" w:evenHBand="0" w:firstRowFirstColumn="0" w:firstRowLastColumn="0" w:lastRowFirstColumn="0" w:lastRowLastColumn="0"/>
            </w:pPr>
            <w:r w:rsidRPr="00EA5BE0">
              <w:rPr>
                <w:rFonts w:eastAsia="Calibri"/>
                <w:shd w:val="clear" w:color="auto" w:fill="FFFFFF"/>
              </w:rPr>
              <w:t>The panel is less confident of the balance between desirable and undesirable consequences </w:t>
            </w:r>
          </w:p>
        </w:tc>
      </w:tr>
    </w:tbl>
    <w:p w14:paraId="0DAD2D4B" w14:textId="24FA9309" w:rsidR="002A3308" w:rsidRDefault="00EA5BE0" w:rsidP="00BD061C">
      <w:pPr>
        <w:pStyle w:val="ParagraphContinued"/>
        <w:rPr>
          <w:rFonts w:ascii="Calibri" w:eastAsia="Calibri" w:hAnsi="Calibri" w:cs="Calibri"/>
          <w:b/>
          <w:bCs/>
          <w:sz w:val="24"/>
          <w:szCs w:val="20"/>
        </w:rPr>
      </w:pPr>
      <w:r w:rsidRPr="002A3308">
        <w:t xml:space="preserve">Within each recommendation, the quality of the supporting evidence is shown as high (A), moderate (B), or low/very low (C). </w:t>
      </w:r>
      <w:bookmarkStart w:id="4" w:name="Table2"/>
    </w:p>
    <w:p w14:paraId="05D261AF" w14:textId="7F57BAFC" w:rsidR="00EA5BE0" w:rsidRPr="00EA5BE0" w:rsidRDefault="00EA5BE0" w:rsidP="003A086B">
      <w:pPr>
        <w:pStyle w:val="TableTitle"/>
        <w:rPr>
          <w:rFonts w:ascii="Calibri" w:eastAsia="Calibri" w:hAnsi="Calibri" w:cs="Calibri"/>
          <w:sz w:val="16"/>
          <w:szCs w:val="12"/>
        </w:rPr>
      </w:pPr>
      <w:r w:rsidRPr="003A086B">
        <w:rPr>
          <w:b/>
          <w:bCs/>
        </w:rPr>
        <w:t>Table 2</w:t>
      </w:r>
      <w:r w:rsidR="003A086B" w:rsidRPr="003A086B">
        <w:rPr>
          <w:b/>
          <w:bCs/>
        </w:rPr>
        <w:t>.</w:t>
      </w:r>
      <w:r w:rsidR="003A086B">
        <w:t xml:space="preserve"> </w:t>
      </w:r>
      <w:r w:rsidR="00D802A6">
        <w:t>ACCP/</w:t>
      </w:r>
      <w:r w:rsidRPr="00EA5BE0">
        <w:t>CHEST (2012)</w:t>
      </w:r>
      <w:r w:rsidR="005E1718">
        <w:t xml:space="preserve"> </w:t>
      </w:r>
      <w:r w:rsidRPr="00EA5BE0">
        <w:t>Strength of Evidence Criteria</w:t>
      </w:r>
      <w:bookmarkEnd w:id="4"/>
      <w:r w:rsidRPr="00EA5BE0">
        <w:t xml:space="preserve"> (GRADE)</w:t>
      </w:r>
    </w:p>
    <w:tbl>
      <w:tblPr>
        <w:tblStyle w:val="BaseTable"/>
        <w:tblW w:w="5000" w:type="pct"/>
        <w:tblLook w:val="04A0" w:firstRow="1" w:lastRow="0" w:firstColumn="1" w:lastColumn="0" w:noHBand="0" w:noVBand="1"/>
      </w:tblPr>
      <w:tblGrid>
        <w:gridCol w:w="2648"/>
        <w:gridCol w:w="2825"/>
        <w:gridCol w:w="7487"/>
      </w:tblGrid>
      <w:tr w:rsidR="00EA5BE0" w:rsidRPr="00EA5BE0" w14:paraId="2313332B" w14:textId="77777777" w:rsidTr="00155462">
        <w:trPr>
          <w:cnfStyle w:val="100000000000" w:firstRow="1" w:lastRow="0" w:firstColumn="0" w:lastColumn="0" w:oddVBand="0" w:evenVBand="0" w:oddHBand="0" w:evenHBand="0" w:firstRowFirstColumn="0" w:firstRowLastColumn="0" w:lastRowFirstColumn="0" w:lastRowLastColumn="0"/>
          <w:cantSplit/>
          <w:tblHeader/>
        </w:trPr>
        <w:tc>
          <w:tcPr>
            <w:tcW w:w="2648" w:type="dxa"/>
          </w:tcPr>
          <w:p w14:paraId="72FA2926" w14:textId="77777777" w:rsidR="00EA5BE0" w:rsidRPr="00EA5BE0" w:rsidRDefault="00EA5BE0" w:rsidP="00BD061C">
            <w:pPr>
              <w:pStyle w:val="TableHeaderLeft"/>
              <w:rPr>
                <w:b w:val="0"/>
              </w:rPr>
            </w:pPr>
            <w:r w:rsidRPr="00EA5BE0">
              <w:t>Evidence Grading</w:t>
            </w:r>
          </w:p>
        </w:tc>
        <w:tc>
          <w:tcPr>
            <w:tcW w:w="2825" w:type="dxa"/>
            <w:hideMark/>
          </w:tcPr>
          <w:p w14:paraId="020987F3" w14:textId="77777777" w:rsidR="00EA5BE0" w:rsidRPr="00EA5BE0" w:rsidRDefault="00EA5BE0" w:rsidP="00BD061C">
            <w:pPr>
              <w:pStyle w:val="TableHeaderCenter"/>
              <w:rPr>
                <w:b w:val="0"/>
              </w:rPr>
            </w:pPr>
            <w:r w:rsidRPr="00EA5BE0">
              <w:t>Strength of Evidence</w:t>
            </w:r>
          </w:p>
        </w:tc>
        <w:tc>
          <w:tcPr>
            <w:tcW w:w="7487" w:type="dxa"/>
            <w:hideMark/>
          </w:tcPr>
          <w:p w14:paraId="42B1338B" w14:textId="77777777" w:rsidR="00EA5BE0" w:rsidRPr="00EA5BE0" w:rsidRDefault="00EA5BE0" w:rsidP="00BD061C">
            <w:pPr>
              <w:pStyle w:val="TableHeaderCenter"/>
              <w:rPr>
                <w:b w:val="0"/>
              </w:rPr>
            </w:pPr>
            <w:r w:rsidRPr="00EA5BE0">
              <w:t>Rationale</w:t>
            </w:r>
          </w:p>
        </w:tc>
      </w:tr>
      <w:tr w:rsidR="00EA5BE0" w:rsidRPr="00EA5BE0" w14:paraId="47102F9E" w14:textId="77777777" w:rsidTr="00155462">
        <w:trPr>
          <w:cantSplit/>
        </w:trPr>
        <w:tc>
          <w:tcPr>
            <w:tcW w:w="2648" w:type="dxa"/>
          </w:tcPr>
          <w:p w14:paraId="329EB0AB" w14:textId="77777777" w:rsidR="00EA5BE0" w:rsidRPr="00EA5BE0" w:rsidRDefault="00EA5BE0" w:rsidP="00BD061C">
            <w:pPr>
              <w:pStyle w:val="TableTextLeft"/>
            </w:pPr>
            <w:r w:rsidRPr="00EA5BE0">
              <w:t>A</w:t>
            </w:r>
          </w:p>
        </w:tc>
        <w:tc>
          <w:tcPr>
            <w:tcW w:w="2825" w:type="dxa"/>
          </w:tcPr>
          <w:p w14:paraId="0CEC64DE" w14:textId="77777777" w:rsidR="00EA5BE0" w:rsidRPr="00EA5BE0" w:rsidRDefault="00EA5BE0" w:rsidP="00BD061C">
            <w:pPr>
              <w:pStyle w:val="TableTextLeft"/>
            </w:pPr>
            <w:r w:rsidRPr="00EA5BE0">
              <w:t>High</w:t>
            </w:r>
          </w:p>
        </w:tc>
        <w:tc>
          <w:tcPr>
            <w:tcW w:w="7487" w:type="dxa"/>
          </w:tcPr>
          <w:p w14:paraId="63E65CD5" w14:textId="77777777" w:rsidR="00EA5BE0" w:rsidRPr="00EA5BE0" w:rsidRDefault="00EA5BE0" w:rsidP="00BD061C">
            <w:pPr>
              <w:pStyle w:val="TableTextLeft"/>
              <w:rPr>
                <w:rFonts w:ascii="Segoe UI" w:hAnsi="Segoe UI" w:cs="Segoe UI"/>
                <w:szCs w:val="18"/>
              </w:rPr>
            </w:pPr>
            <w:r w:rsidRPr="00EA5BE0">
              <w:t>The quality of the body of evidence is rated as 4+  </w:t>
            </w:r>
          </w:p>
          <w:p w14:paraId="17843C76" w14:textId="77777777" w:rsidR="00EA5BE0" w:rsidRPr="00EA5BE0" w:rsidRDefault="00EA5BE0" w:rsidP="00BD061C">
            <w:pPr>
              <w:pStyle w:val="TableTextLeft"/>
              <w:rPr>
                <w:rFonts w:ascii="Segoe UI" w:hAnsi="Segoe UI" w:cs="Segoe UI"/>
                <w:szCs w:val="18"/>
              </w:rPr>
            </w:pPr>
            <w:r w:rsidRPr="00EA5BE0">
              <w:t>We are very confident that the true effect lies close to that of the estimate of the effect.  </w:t>
            </w:r>
          </w:p>
        </w:tc>
      </w:tr>
      <w:tr w:rsidR="00EA5BE0" w:rsidRPr="00EA5BE0" w14:paraId="2FF9EDE2" w14:textId="77777777" w:rsidTr="00155462">
        <w:trPr>
          <w:cantSplit/>
        </w:trPr>
        <w:tc>
          <w:tcPr>
            <w:tcW w:w="2648" w:type="dxa"/>
          </w:tcPr>
          <w:p w14:paraId="52FF9571" w14:textId="77777777" w:rsidR="00EA5BE0" w:rsidRPr="00EA5BE0" w:rsidRDefault="00EA5BE0" w:rsidP="00BD061C">
            <w:pPr>
              <w:pStyle w:val="TableTextLeft"/>
            </w:pPr>
            <w:r w:rsidRPr="00EA5BE0">
              <w:lastRenderedPageBreak/>
              <w:t>B</w:t>
            </w:r>
          </w:p>
        </w:tc>
        <w:tc>
          <w:tcPr>
            <w:tcW w:w="2825" w:type="dxa"/>
          </w:tcPr>
          <w:p w14:paraId="3214F01C" w14:textId="77777777" w:rsidR="00EA5BE0" w:rsidRPr="00EA5BE0" w:rsidRDefault="00EA5BE0" w:rsidP="00BD061C">
            <w:pPr>
              <w:pStyle w:val="TableTextLeft"/>
            </w:pPr>
            <w:r w:rsidRPr="00EA5BE0">
              <w:t>Moderate</w:t>
            </w:r>
          </w:p>
        </w:tc>
        <w:tc>
          <w:tcPr>
            <w:tcW w:w="7487" w:type="dxa"/>
          </w:tcPr>
          <w:p w14:paraId="684C36C4" w14:textId="77777777" w:rsidR="00EA5BE0" w:rsidRPr="00EA5BE0" w:rsidRDefault="00EA5BE0" w:rsidP="00BD061C">
            <w:pPr>
              <w:pStyle w:val="TableTextLeft"/>
              <w:rPr>
                <w:rFonts w:ascii="Segoe UI" w:hAnsi="Segoe UI" w:cs="Segoe UI"/>
                <w:szCs w:val="18"/>
              </w:rPr>
            </w:pPr>
            <w:r w:rsidRPr="00EA5BE0">
              <w:t>The quality of the body of evidence is rated as 3+ </w:t>
            </w:r>
          </w:p>
          <w:p w14:paraId="4EDDD9D0" w14:textId="77777777" w:rsidR="00EA5BE0" w:rsidRPr="00EA5BE0" w:rsidRDefault="00EA5BE0" w:rsidP="00BD061C">
            <w:pPr>
              <w:pStyle w:val="TableTextLeft"/>
              <w:rPr>
                <w:rFonts w:ascii="Segoe UI" w:hAnsi="Segoe UI" w:cs="Segoe UI"/>
                <w:szCs w:val="18"/>
              </w:rPr>
            </w:pPr>
            <w:r w:rsidRPr="00EA5BE0">
              <w:t>We are moderately confident in the effect estimate: The true effect is likely to be close to the estimate of the effect, but there is a possibility that it is substantially different. </w:t>
            </w:r>
          </w:p>
        </w:tc>
      </w:tr>
      <w:tr w:rsidR="00155462" w:rsidRPr="00EA5BE0" w14:paraId="64ECBE08" w14:textId="77777777" w:rsidTr="00155462">
        <w:trPr>
          <w:cantSplit/>
        </w:trPr>
        <w:tc>
          <w:tcPr>
            <w:tcW w:w="2648" w:type="dxa"/>
            <w:tcBorders>
              <w:bottom w:val="nil"/>
            </w:tcBorders>
          </w:tcPr>
          <w:p w14:paraId="2227D178" w14:textId="77777777" w:rsidR="00155462" w:rsidRPr="00EA5BE0" w:rsidRDefault="00155462" w:rsidP="00BD061C">
            <w:pPr>
              <w:pStyle w:val="TableTextLeft"/>
            </w:pPr>
            <w:r w:rsidRPr="00EA5BE0">
              <w:t>C</w:t>
            </w:r>
          </w:p>
        </w:tc>
        <w:tc>
          <w:tcPr>
            <w:tcW w:w="2825" w:type="dxa"/>
          </w:tcPr>
          <w:p w14:paraId="6C9B9E51" w14:textId="77777777" w:rsidR="00155462" w:rsidRPr="00EA5BE0" w:rsidRDefault="00155462" w:rsidP="00BD061C">
            <w:pPr>
              <w:pStyle w:val="TableTextLeft"/>
            </w:pPr>
            <w:r w:rsidRPr="00EA5BE0">
              <w:t>Low</w:t>
            </w:r>
          </w:p>
        </w:tc>
        <w:tc>
          <w:tcPr>
            <w:tcW w:w="7487" w:type="dxa"/>
          </w:tcPr>
          <w:p w14:paraId="29156C55" w14:textId="77777777" w:rsidR="00155462" w:rsidRPr="00EA5BE0" w:rsidRDefault="00155462" w:rsidP="00BD061C">
            <w:pPr>
              <w:pStyle w:val="TableTextLeft"/>
              <w:rPr>
                <w:rFonts w:ascii="Segoe UI" w:hAnsi="Segoe UI" w:cs="Segoe UI"/>
                <w:szCs w:val="18"/>
              </w:rPr>
            </w:pPr>
            <w:r w:rsidRPr="00EA5BE0">
              <w:t>The quality of the body of evidence is rated as 2+ </w:t>
            </w:r>
          </w:p>
          <w:p w14:paraId="35E9C9BA" w14:textId="77777777" w:rsidR="00155462" w:rsidRPr="00EA5BE0" w:rsidRDefault="00155462" w:rsidP="00BD061C">
            <w:pPr>
              <w:pStyle w:val="TableTextLeft"/>
              <w:rPr>
                <w:rFonts w:ascii="Segoe UI" w:hAnsi="Segoe UI" w:cs="Segoe UI"/>
                <w:szCs w:val="18"/>
              </w:rPr>
            </w:pPr>
            <w:r w:rsidRPr="00EA5BE0">
              <w:t>Our confidence in the effect estimate is limited: The true effect may be substantially different from the estimate of the effect.  </w:t>
            </w:r>
          </w:p>
        </w:tc>
      </w:tr>
      <w:tr w:rsidR="00155462" w:rsidRPr="00EA5BE0" w14:paraId="52BC09AE" w14:textId="77777777" w:rsidTr="00155462">
        <w:trPr>
          <w:cantSplit/>
        </w:trPr>
        <w:tc>
          <w:tcPr>
            <w:tcW w:w="2648" w:type="dxa"/>
            <w:tcBorders>
              <w:top w:val="nil"/>
              <w:bottom w:val="single" w:sz="4" w:space="0" w:color="auto"/>
            </w:tcBorders>
          </w:tcPr>
          <w:p w14:paraId="69433476" w14:textId="77777777" w:rsidR="00155462" w:rsidRPr="00EA5BE0" w:rsidRDefault="00155462" w:rsidP="00BD061C">
            <w:pPr>
              <w:pStyle w:val="TableTextLeft"/>
            </w:pPr>
          </w:p>
        </w:tc>
        <w:tc>
          <w:tcPr>
            <w:tcW w:w="2825" w:type="dxa"/>
          </w:tcPr>
          <w:p w14:paraId="524080DC" w14:textId="77777777" w:rsidR="00155462" w:rsidRPr="00EA5BE0" w:rsidRDefault="00155462" w:rsidP="00BD061C">
            <w:pPr>
              <w:pStyle w:val="TableTextLeft"/>
            </w:pPr>
            <w:r w:rsidRPr="00EA5BE0">
              <w:t>Very Low</w:t>
            </w:r>
          </w:p>
        </w:tc>
        <w:tc>
          <w:tcPr>
            <w:tcW w:w="7487" w:type="dxa"/>
          </w:tcPr>
          <w:p w14:paraId="0F9C6AA4" w14:textId="77777777" w:rsidR="00155462" w:rsidRPr="00EA5BE0" w:rsidRDefault="00155462" w:rsidP="00BD061C">
            <w:pPr>
              <w:pStyle w:val="TableTextLeft"/>
              <w:rPr>
                <w:rFonts w:ascii="Segoe UI" w:hAnsi="Segoe UI" w:cs="Segoe UI"/>
                <w:szCs w:val="18"/>
              </w:rPr>
            </w:pPr>
            <w:r w:rsidRPr="00EA5BE0">
              <w:t>The quality of the body of evidence is rated as 1+ </w:t>
            </w:r>
          </w:p>
          <w:p w14:paraId="7EB3CC92" w14:textId="77777777" w:rsidR="00155462" w:rsidRPr="00EA5BE0" w:rsidRDefault="00155462" w:rsidP="00BD061C">
            <w:pPr>
              <w:pStyle w:val="TableTextLeft"/>
              <w:rPr>
                <w:rFonts w:ascii="Segoe UI" w:hAnsi="Segoe UI" w:cs="Segoe UI"/>
                <w:szCs w:val="18"/>
              </w:rPr>
            </w:pPr>
            <w:r w:rsidRPr="00EA5BE0">
              <w:t>We have very little confidence in the effect of the estimate: The true effect is likely to be substantially different from the estimate of the effect. </w:t>
            </w:r>
          </w:p>
        </w:tc>
      </w:tr>
    </w:tbl>
    <w:p w14:paraId="058E095D" w14:textId="60DC84F1" w:rsidR="00EA5BE0" w:rsidRPr="00EA5BE0" w:rsidRDefault="00EA5BE0" w:rsidP="00BD061C">
      <w:pPr>
        <w:pStyle w:val="ParagraphContinued"/>
        <w:rPr>
          <w:rFonts w:ascii="Calibri" w:eastAsia="Calibri" w:hAnsi="Calibri" w:cs="Calibri"/>
          <w:b/>
          <w:bCs/>
          <w:sz w:val="12"/>
          <w:szCs w:val="12"/>
        </w:rPr>
      </w:pPr>
      <w:r w:rsidRPr="00E13BFD">
        <w:t>Additionally, the level of evidence also indicates the quality of the body of evidence used to inform the recommendations.</w:t>
      </w:r>
    </w:p>
    <w:p w14:paraId="5A73293D" w14:textId="1873FC94" w:rsidR="00EA5BE0" w:rsidRPr="00EA5BE0" w:rsidRDefault="00EA5BE0" w:rsidP="003A086B">
      <w:pPr>
        <w:pStyle w:val="TableTitle"/>
        <w:rPr>
          <w:rFonts w:ascii="Calibri" w:eastAsia="Calibri" w:hAnsi="Calibri" w:cs="Calibri"/>
          <w:b/>
          <w:bCs/>
          <w:sz w:val="24"/>
          <w:szCs w:val="20"/>
        </w:rPr>
      </w:pPr>
      <w:bookmarkStart w:id="5" w:name="Table3"/>
      <w:r w:rsidRPr="003A086B">
        <w:rPr>
          <w:b/>
          <w:bCs/>
        </w:rPr>
        <w:t>Table 3</w:t>
      </w:r>
      <w:r w:rsidR="003A086B" w:rsidRPr="003A086B">
        <w:rPr>
          <w:b/>
          <w:bCs/>
        </w:rPr>
        <w:t>.</w:t>
      </w:r>
      <w:r w:rsidRPr="003A086B">
        <w:rPr>
          <w:b/>
          <w:bCs/>
        </w:rPr>
        <w:t xml:space="preserve"> </w:t>
      </w:r>
      <w:r w:rsidR="00D802A6">
        <w:t>ACCP/</w:t>
      </w:r>
      <w:r w:rsidRPr="00EA5BE0">
        <w:t>CHEST (2012)</w:t>
      </w:r>
      <w:r w:rsidR="005E1718">
        <w:t xml:space="preserve"> </w:t>
      </w:r>
      <w:r w:rsidRPr="00EA5BE0">
        <w:t>Level of Evidence Criteria (GRADE)</w:t>
      </w:r>
    </w:p>
    <w:tbl>
      <w:tblPr>
        <w:tblStyle w:val="AlternateTable"/>
        <w:tblW w:w="5000" w:type="pct"/>
        <w:tblLook w:val="04A0" w:firstRow="1" w:lastRow="0" w:firstColumn="1" w:lastColumn="0" w:noHBand="0" w:noVBand="1"/>
      </w:tblPr>
      <w:tblGrid>
        <w:gridCol w:w="1931"/>
        <w:gridCol w:w="3829"/>
        <w:gridCol w:w="3960"/>
        <w:gridCol w:w="3240"/>
      </w:tblGrid>
      <w:tr w:rsidR="00610CD1" w:rsidRPr="00EA5BE0" w14:paraId="5099BAFC" w14:textId="77777777" w:rsidTr="002303C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931" w:type="dxa"/>
            <w:vAlign w:val="bottom"/>
            <w:hideMark/>
          </w:tcPr>
          <w:p w14:paraId="5AC0F6E1" w14:textId="6AB88220" w:rsidR="00EA5BE0" w:rsidRPr="00EA5BE0" w:rsidRDefault="00EA5BE0" w:rsidP="00BD061C">
            <w:pPr>
              <w:pStyle w:val="TableHeaderLeft"/>
              <w:rPr>
                <w:rFonts w:ascii="Segoe UI" w:hAnsi="Segoe UI" w:cs="Segoe UI"/>
                <w:szCs w:val="18"/>
              </w:rPr>
            </w:pPr>
            <w:r w:rsidRPr="00EA5BE0">
              <w:t>Study Design </w:t>
            </w:r>
          </w:p>
        </w:tc>
        <w:tc>
          <w:tcPr>
            <w:tcW w:w="3829" w:type="dxa"/>
            <w:vAlign w:val="bottom"/>
            <w:hideMark/>
          </w:tcPr>
          <w:p w14:paraId="37CC07C8" w14:textId="77777777" w:rsidR="00EA5BE0" w:rsidRPr="00EA5BE0" w:rsidRDefault="00EA5BE0" w:rsidP="00BD061C">
            <w:pPr>
              <w:pStyle w:val="TableHeaderCenter"/>
              <w:cnfStyle w:val="100000000000" w:firstRow="1" w:lastRow="0" w:firstColumn="0" w:lastColumn="0" w:oddVBand="0" w:evenVBand="0" w:oddHBand="0" w:evenHBand="0" w:firstRowFirstColumn="0" w:firstRowLastColumn="0" w:lastRowFirstColumn="0" w:lastRowLastColumn="0"/>
              <w:rPr>
                <w:rFonts w:ascii="Segoe UI" w:hAnsi="Segoe UI" w:cs="Segoe UI"/>
                <w:szCs w:val="18"/>
              </w:rPr>
            </w:pPr>
            <w:r w:rsidRPr="00EA5BE0">
              <w:t>Initial quality of a body of evidence </w:t>
            </w:r>
          </w:p>
        </w:tc>
        <w:tc>
          <w:tcPr>
            <w:tcW w:w="3960" w:type="dxa"/>
            <w:vAlign w:val="bottom"/>
            <w:hideMark/>
          </w:tcPr>
          <w:p w14:paraId="295348AB" w14:textId="77777777" w:rsidR="00EA5BE0" w:rsidRPr="00EA5BE0" w:rsidRDefault="00EA5BE0" w:rsidP="00BD061C">
            <w:pPr>
              <w:pStyle w:val="TableHeaderCenter"/>
              <w:cnfStyle w:val="100000000000" w:firstRow="1" w:lastRow="0" w:firstColumn="0" w:lastColumn="0" w:oddVBand="0" w:evenVBand="0" w:oddHBand="0" w:evenHBand="0" w:firstRowFirstColumn="0" w:firstRowLastColumn="0" w:lastRowFirstColumn="0" w:lastRowLastColumn="0"/>
              <w:rPr>
                <w:rFonts w:ascii="Segoe UI" w:hAnsi="Segoe UI" w:cs="Segoe UI"/>
                <w:szCs w:val="18"/>
              </w:rPr>
            </w:pPr>
            <w:r w:rsidRPr="00EA5BE0">
              <w:t>Lower if </w:t>
            </w:r>
          </w:p>
        </w:tc>
        <w:tc>
          <w:tcPr>
            <w:tcW w:w="3240" w:type="dxa"/>
            <w:vAlign w:val="bottom"/>
            <w:hideMark/>
          </w:tcPr>
          <w:p w14:paraId="7B1786C2" w14:textId="77777777" w:rsidR="00EA5BE0" w:rsidRPr="00EA5BE0" w:rsidRDefault="00EA5BE0" w:rsidP="00BD061C">
            <w:pPr>
              <w:pStyle w:val="TableHeaderCenter"/>
              <w:cnfStyle w:val="100000000000" w:firstRow="1" w:lastRow="0" w:firstColumn="0" w:lastColumn="0" w:oddVBand="0" w:evenVBand="0" w:oddHBand="0" w:evenHBand="0" w:firstRowFirstColumn="0" w:firstRowLastColumn="0" w:lastRowFirstColumn="0" w:lastRowLastColumn="0"/>
              <w:rPr>
                <w:rFonts w:ascii="Segoe UI" w:hAnsi="Segoe UI" w:cs="Segoe UI"/>
                <w:szCs w:val="18"/>
              </w:rPr>
            </w:pPr>
            <w:r w:rsidRPr="00EA5BE0">
              <w:t>Higher if </w:t>
            </w:r>
          </w:p>
        </w:tc>
      </w:tr>
      <w:tr w:rsidR="00610CD1" w:rsidRPr="00EA5BE0" w14:paraId="0D299851" w14:textId="77777777" w:rsidTr="002303CC">
        <w:tc>
          <w:tcPr>
            <w:cnfStyle w:val="001000000000" w:firstRow="0" w:lastRow="0" w:firstColumn="1" w:lastColumn="0" w:oddVBand="0" w:evenVBand="0" w:oddHBand="0" w:evenHBand="0" w:firstRowFirstColumn="0" w:firstRowLastColumn="0" w:lastRowFirstColumn="0" w:lastRowLastColumn="0"/>
            <w:tcW w:w="1931" w:type="dxa"/>
            <w:tcBorders>
              <w:top w:val="single" w:sz="4" w:space="0" w:color="046B5C" w:themeColor="text2"/>
              <w:bottom w:val="single" w:sz="4" w:space="0" w:color="046B5C" w:themeColor="text2"/>
            </w:tcBorders>
          </w:tcPr>
          <w:p w14:paraId="4497DA1D" w14:textId="44F34689" w:rsidR="00610CD1" w:rsidRPr="00EA5BE0" w:rsidRDefault="00610CD1" w:rsidP="00610CD1">
            <w:pPr>
              <w:pStyle w:val="TableTextLeft"/>
            </w:pPr>
            <w:r w:rsidRPr="00EA5BE0">
              <w:t>Randomized Trials </w:t>
            </w:r>
          </w:p>
        </w:tc>
        <w:tc>
          <w:tcPr>
            <w:tcW w:w="3829" w:type="dxa"/>
            <w:tcBorders>
              <w:top w:val="single" w:sz="4" w:space="0" w:color="046B5C" w:themeColor="text2"/>
              <w:bottom w:val="single" w:sz="4" w:space="0" w:color="046B5C" w:themeColor="text2"/>
            </w:tcBorders>
          </w:tcPr>
          <w:p w14:paraId="1097552B" w14:textId="43E5CB43" w:rsidR="00610CD1" w:rsidRPr="00EA5BE0" w:rsidRDefault="00610CD1" w:rsidP="00610CD1">
            <w:pPr>
              <w:pStyle w:val="TableTextLeft"/>
              <w:cnfStyle w:val="000000000000" w:firstRow="0" w:lastRow="0" w:firstColumn="0" w:lastColumn="0" w:oddVBand="0" w:evenVBand="0" w:oddHBand="0" w:evenHBand="0" w:firstRowFirstColumn="0" w:firstRowLastColumn="0" w:lastRowFirstColumn="0" w:lastRowLastColumn="0"/>
            </w:pPr>
            <w:r w:rsidRPr="00EA5BE0">
              <w:t>High </w:t>
            </w:r>
          </w:p>
        </w:tc>
        <w:tc>
          <w:tcPr>
            <w:tcW w:w="3960" w:type="dxa"/>
            <w:tcBorders>
              <w:top w:val="single" w:sz="4" w:space="0" w:color="046B5C" w:themeColor="text2"/>
              <w:bottom w:val="nil"/>
            </w:tcBorders>
          </w:tcPr>
          <w:p w14:paraId="18AB02CD" w14:textId="367B2C00" w:rsidR="00610CD1" w:rsidRPr="00EA5BE0" w:rsidRDefault="00610CD1" w:rsidP="00610CD1">
            <w:pPr>
              <w:pStyle w:val="TableTextLeft"/>
              <w:cnfStyle w:val="000000000000" w:firstRow="0" w:lastRow="0" w:firstColumn="0" w:lastColumn="0" w:oddVBand="0" w:evenVBand="0" w:oddHBand="0" w:evenHBand="0" w:firstRowFirstColumn="0" w:firstRowLastColumn="0" w:lastRowFirstColumn="0" w:lastRowLastColumn="0"/>
            </w:pPr>
            <w:r w:rsidRPr="00EA5BE0">
              <w:t>Risk of bias </w:t>
            </w:r>
          </w:p>
        </w:tc>
        <w:tc>
          <w:tcPr>
            <w:tcW w:w="3240" w:type="dxa"/>
            <w:tcBorders>
              <w:top w:val="single" w:sz="4" w:space="0" w:color="046B5C" w:themeColor="text2"/>
              <w:bottom w:val="nil"/>
            </w:tcBorders>
          </w:tcPr>
          <w:p w14:paraId="73974471" w14:textId="68733082" w:rsidR="00610CD1" w:rsidRPr="00EA5BE0" w:rsidRDefault="00610CD1" w:rsidP="00610CD1">
            <w:pPr>
              <w:pStyle w:val="TableTextLeft"/>
              <w:cnfStyle w:val="000000000000" w:firstRow="0" w:lastRow="0" w:firstColumn="0" w:lastColumn="0" w:oddVBand="0" w:evenVBand="0" w:oddHBand="0" w:evenHBand="0" w:firstRowFirstColumn="0" w:firstRowLastColumn="0" w:lastRowFirstColumn="0" w:lastRowLastColumn="0"/>
            </w:pPr>
            <w:r w:rsidRPr="00EA5BE0">
              <w:t>Large effect </w:t>
            </w:r>
          </w:p>
        </w:tc>
      </w:tr>
      <w:tr w:rsidR="00610CD1" w:rsidRPr="00EA5BE0" w14:paraId="355962AA" w14:textId="77777777" w:rsidTr="002303CC">
        <w:tc>
          <w:tcPr>
            <w:cnfStyle w:val="001000000000" w:firstRow="0" w:lastRow="0" w:firstColumn="1" w:lastColumn="0" w:oddVBand="0" w:evenVBand="0" w:oddHBand="0" w:evenHBand="0" w:firstRowFirstColumn="0" w:firstRowLastColumn="0" w:lastRowFirstColumn="0" w:lastRowLastColumn="0"/>
            <w:tcW w:w="1931" w:type="dxa"/>
            <w:tcBorders>
              <w:top w:val="single" w:sz="4" w:space="0" w:color="046B5C" w:themeColor="text2"/>
              <w:bottom w:val="single" w:sz="4" w:space="0" w:color="046B5C" w:themeColor="text2"/>
            </w:tcBorders>
          </w:tcPr>
          <w:p w14:paraId="19E403CF" w14:textId="61C4F1C9" w:rsidR="00610CD1" w:rsidRPr="00EA5BE0" w:rsidRDefault="00610CD1" w:rsidP="00610CD1">
            <w:pPr>
              <w:pStyle w:val="TableTextLeft"/>
            </w:pPr>
            <w:r w:rsidRPr="00EA5BE0">
              <w:t>Observational Studies</w:t>
            </w:r>
          </w:p>
        </w:tc>
        <w:tc>
          <w:tcPr>
            <w:tcW w:w="3829" w:type="dxa"/>
            <w:tcBorders>
              <w:top w:val="single" w:sz="4" w:space="0" w:color="046B5C" w:themeColor="text2"/>
              <w:bottom w:val="single" w:sz="4" w:space="0" w:color="046B5C" w:themeColor="text2"/>
            </w:tcBorders>
          </w:tcPr>
          <w:p w14:paraId="5B72E793" w14:textId="719E0CD1" w:rsidR="00610CD1" w:rsidRPr="00EA5BE0" w:rsidRDefault="00610CD1" w:rsidP="00610CD1">
            <w:pPr>
              <w:pStyle w:val="TableTextLeft"/>
              <w:cnfStyle w:val="000000000000" w:firstRow="0" w:lastRow="0" w:firstColumn="0" w:lastColumn="0" w:oddVBand="0" w:evenVBand="0" w:oddHBand="0" w:evenHBand="0" w:firstRowFirstColumn="0" w:firstRowLastColumn="0" w:lastRowFirstColumn="0" w:lastRowLastColumn="0"/>
            </w:pPr>
            <w:r w:rsidRPr="00EA5BE0">
              <w:t>Low </w:t>
            </w:r>
          </w:p>
        </w:tc>
        <w:tc>
          <w:tcPr>
            <w:tcW w:w="3960" w:type="dxa"/>
            <w:tcBorders>
              <w:top w:val="nil"/>
              <w:bottom w:val="single" w:sz="4" w:space="0" w:color="046B5C" w:themeColor="text2"/>
            </w:tcBorders>
          </w:tcPr>
          <w:p w14:paraId="02EA29E6"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serious </w:t>
            </w:r>
          </w:p>
          <w:p w14:paraId="6C56028A"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serious </w:t>
            </w:r>
          </w:p>
          <w:p w14:paraId="3AAC6BDC" w14:textId="77777777" w:rsidR="00610CD1" w:rsidRPr="00EA5BE0" w:rsidRDefault="00610CD1" w:rsidP="00610CD1">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Inconsistency </w:t>
            </w:r>
          </w:p>
          <w:p w14:paraId="03B2ADEB"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serious </w:t>
            </w:r>
          </w:p>
          <w:p w14:paraId="78C6BF6C"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serious </w:t>
            </w:r>
          </w:p>
          <w:p w14:paraId="7BAA9521" w14:textId="77777777" w:rsidR="00610CD1" w:rsidRPr="00EA5BE0" w:rsidRDefault="00610CD1" w:rsidP="00610CD1">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Indirectness </w:t>
            </w:r>
          </w:p>
          <w:p w14:paraId="5A281FC7"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serious </w:t>
            </w:r>
          </w:p>
          <w:p w14:paraId="5057FAD2"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serious </w:t>
            </w:r>
          </w:p>
          <w:p w14:paraId="5A3E28D9" w14:textId="77777777" w:rsidR="00610CD1" w:rsidRPr="00EA5BE0" w:rsidRDefault="00610CD1" w:rsidP="00610CD1">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Imprecision </w:t>
            </w:r>
          </w:p>
          <w:p w14:paraId="1DB1EF84"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serious </w:t>
            </w:r>
          </w:p>
          <w:p w14:paraId="4E3E56E5"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serious </w:t>
            </w:r>
          </w:p>
          <w:p w14:paraId="48987505" w14:textId="77777777" w:rsidR="00610CD1" w:rsidRPr="00EA5BE0" w:rsidRDefault="00610CD1" w:rsidP="00610CD1">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Publication bias </w:t>
            </w:r>
          </w:p>
          <w:p w14:paraId="1BCE14E3"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likely </w:t>
            </w:r>
          </w:p>
          <w:p w14:paraId="622AE843" w14:textId="4C041AA9"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Cs w:val="18"/>
              </w:rPr>
            </w:pPr>
            <w:r w:rsidRPr="00EA5BE0">
              <w:t>-2 very likely </w:t>
            </w:r>
          </w:p>
        </w:tc>
        <w:tc>
          <w:tcPr>
            <w:tcW w:w="3240" w:type="dxa"/>
            <w:tcBorders>
              <w:top w:val="nil"/>
              <w:bottom w:val="single" w:sz="4" w:space="0" w:color="046B5C" w:themeColor="text2"/>
            </w:tcBorders>
          </w:tcPr>
          <w:p w14:paraId="1E390B06"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large </w:t>
            </w:r>
          </w:p>
          <w:p w14:paraId="0D68ADA4"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large </w:t>
            </w:r>
          </w:p>
          <w:p w14:paraId="03DA127F" w14:textId="77777777" w:rsidR="00610CD1" w:rsidRPr="00EA5BE0" w:rsidRDefault="00610CD1" w:rsidP="00610CD1">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Dose response </w:t>
            </w:r>
          </w:p>
          <w:p w14:paraId="6004422A"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Evidence of a gradient </w:t>
            </w:r>
          </w:p>
          <w:p w14:paraId="1E6B2FA9" w14:textId="77777777" w:rsidR="00610CD1" w:rsidRPr="00EA5BE0" w:rsidRDefault="00610CD1" w:rsidP="00610CD1">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All plausible residual confounding </w:t>
            </w:r>
          </w:p>
          <w:p w14:paraId="1110172D" w14:textId="7777777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 xml:space="preserve">+1 would reduce </w:t>
            </w:r>
            <w:proofErr w:type="gramStart"/>
            <w:r w:rsidRPr="00EA5BE0">
              <w:t>a demonstrated</w:t>
            </w:r>
            <w:proofErr w:type="gramEnd"/>
            <w:r w:rsidRPr="00EA5BE0">
              <w:t xml:space="preserve"> effect </w:t>
            </w:r>
          </w:p>
          <w:p w14:paraId="231D47D4" w14:textId="3155D657" w:rsidR="00610CD1" w:rsidRPr="00EA5BE0" w:rsidRDefault="00610CD1" w:rsidP="00610CD1">
            <w:pPr>
              <w:pStyle w:val="TableTextIndent"/>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Cs w:val="18"/>
              </w:rPr>
            </w:pPr>
            <w:r w:rsidRPr="00EA5BE0">
              <w:t>+1 would suggest a spurious effect if no effect was observed </w:t>
            </w:r>
          </w:p>
        </w:tc>
      </w:tr>
      <w:bookmarkEnd w:id="5"/>
    </w:tbl>
    <w:p w14:paraId="26E3925E" w14:textId="77777777" w:rsidR="00EA5BE0" w:rsidRPr="00EA5BE0" w:rsidRDefault="00EA5BE0" w:rsidP="00EA5BE0">
      <w:pPr>
        <w:spacing w:after="0" w:line="276" w:lineRule="auto"/>
        <w:rPr>
          <w:rFonts w:ascii="Calibri" w:eastAsia="Calibri" w:hAnsi="Calibri" w:cs="Calibri"/>
          <w:sz w:val="24"/>
          <w:szCs w:val="20"/>
        </w:rPr>
      </w:pPr>
    </w:p>
    <w:p w14:paraId="67D14B6C" w14:textId="19D83E21" w:rsidR="00EA5BE0" w:rsidRPr="00EA5BE0" w:rsidRDefault="00EA5BE0" w:rsidP="00BD061C">
      <w:pPr>
        <w:pStyle w:val="TableTitle"/>
        <w:rPr>
          <w:rFonts w:ascii="Calibri" w:eastAsia="Calibri" w:hAnsi="Calibri" w:cs="Calibri"/>
          <w:sz w:val="12"/>
          <w:szCs w:val="8"/>
        </w:rPr>
      </w:pPr>
      <w:bookmarkStart w:id="6" w:name="Table4"/>
      <w:bookmarkStart w:id="7" w:name="_Hlk194846843"/>
      <w:r w:rsidRPr="00BD061C">
        <w:rPr>
          <w:b/>
          <w:bCs/>
        </w:rPr>
        <w:lastRenderedPageBreak/>
        <w:t>Table 4</w:t>
      </w:r>
      <w:r w:rsidR="00BD061C" w:rsidRPr="00BD061C">
        <w:rPr>
          <w:b/>
          <w:bCs/>
        </w:rPr>
        <w:t>.</w:t>
      </w:r>
      <w:r w:rsidRPr="00BD061C">
        <w:rPr>
          <w:b/>
          <w:bCs/>
        </w:rPr>
        <w:t xml:space="preserve"> </w:t>
      </w:r>
      <w:r w:rsidR="00D802A6">
        <w:t>ACCP/</w:t>
      </w:r>
      <w:r w:rsidRPr="00EA5BE0">
        <w:t>CHEST (2012)</w:t>
      </w:r>
      <w:r w:rsidR="005E1718">
        <w:t xml:space="preserve"> </w:t>
      </w:r>
      <w:r w:rsidR="00AD7D4C" w:rsidRPr="00490358">
        <w:rPr>
          <w:rFonts w:eastAsia="Times New Roman"/>
        </w:rPr>
        <w:t>Nonorthopedic</w:t>
      </w:r>
      <w:r w:rsidR="00AD7D4C">
        <w:t xml:space="preserve"> </w:t>
      </w:r>
      <w:r w:rsidR="00B24B87">
        <w:t xml:space="preserve">Surgical </w:t>
      </w:r>
      <w:r w:rsidRPr="00EA5BE0">
        <w:t>Guidelines that Support the Measure</w:t>
      </w:r>
      <w:bookmarkEnd w:id="6"/>
    </w:p>
    <w:tbl>
      <w:tblPr>
        <w:tblStyle w:val="AlternateTable"/>
        <w:tblW w:w="5000" w:type="pct"/>
        <w:tblLook w:val="04A0" w:firstRow="1" w:lastRow="0" w:firstColumn="1" w:lastColumn="0" w:noHBand="0" w:noVBand="1"/>
      </w:tblPr>
      <w:tblGrid>
        <w:gridCol w:w="9842"/>
        <w:gridCol w:w="1710"/>
        <w:gridCol w:w="1408"/>
      </w:tblGrid>
      <w:tr w:rsidR="00EA5BE0" w:rsidRPr="00EA5BE0" w14:paraId="779845CB" w14:textId="77777777" w:rsidTr="00EB7E54">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10260" w:type="dxa"/>
            <w:vAlign w:val="bottom"/>
            <w:hideMark/>
          </w:tcPr>
          <w:p w14:paraId="63476944" w14:textId="77777777" w:rsidR="00EA5BE0" w:rsidRPr="00EA5BE0" w:rsidRDefault="00EA5BE0" w:rsidP="005E04C2">
            <w:pPr>
              <w:pStyle w:val="TableHeaderLeft"/>
              <w:rPr>
                <w:b w:val="0"/>
              </w:rPr>
            </w:pPr>
            <w:r w:rsidRPr="00EA5BE0">
              <w:t>Verbatim Guideline</w:t>
            </w:r>
          </w:p>
        </w:tc>
        <w:tc>
          <w:tcPr>
            <w:tcW w:w="1710" w:type="dxa"/>
            <w:vAlign w:val="bottom"/>
            <w:hideMark/>
          </w:tcPr>
          <w:p w14:paraId="459E3948" w14:textId="77777777" w:rsidR="00EA5BE0" w:rsidRPr="00EA5BE0" w:rsidRDefault="00EA5BE0" w:rsidP="005E04C2">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435" w:type="dxa"/>
            <w:vAlign w:val="bottom"/>
            <w:hideMark/>
          </w:tcPr>
          <w:p w14:paraId="6208685B" w14:textId="77777777" w:rsidR="00EA5BE0" w:rsidRPr="00EA5BE0" w:rsidRDefault="00EA5BE0" w:rsidP="005E04C2">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5E04C2" w:rsidRPr="00EA5BE0" w14:paraId="6324705B"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Borders>
              <w:top w:val="single" w:sz="4" w:space="0" w:color="046B5C" w:themeColor="text2"/>
              <w:bottom w:val="single" w:sz="4" w:space="0" w:color="5B6771" w:themeColor="accent3"/>
              <w:right w:val="nil"/>
            </w:tcBorders>
            <w:shd w:val="clear" w:color="auto" w:fill="0B2949" w:themeFill="accent1"/>
          </w:tcPr>
          <w:p w14:paraId="308D3E0A" w14:textId="1CD1238F" w:rsidR="005E04C2" w:rsidRPr="00EA5BE0" w:rsidRDefault="005E04C2" w:rsidP="001A1E0A">
            <w:pPr>
              <w:pStyle w:val="TableRowHead"/>
              <w:rPr>
                <w:color w:val="000000"/>
              </w:rPr>
            </w:pPr>
            <w:r w:rsidRPr="006E326F">
              <w:t>Guidelines focused on general surgery, GI surgery, urological surgery, gynecological surgery, bariatric surgery, vascular surgery, and plastic and reconstructive surgery</w:t>
            </w:r>
          </w:p>
        </w:tc>
        <w:tc>
          <w:tcPr>
            <w:tcW w:w="1710" w:type="dxa"/>
            <w:tcBorders>
              <w:top w:val="single" w:sz="4" w:space="0" w:color="046B5C" w:themeColor="text2"/>
              <w:left w:val="nil"/>
              <w:bottom w:val="single" w:sz="4" w:space="0" w:color="5B6771" w:themeColor="accent3"/>
              <w:right w:val="nil"/>
            </w:tcBorders>
            <w:shd w:val="clear" w:color="auto" w:fill="0B2949" w:themeFill="accent1"/>
          </w:tcPr>
          <w:p w14:paraId="3591D2CF" w14:textId="77777777" w:rsidR="005E04C2" w:rsidRPr="00EA5BE0" w:rsidRDefault="005E04C2" w:rsidP="001A1E0A">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435" w:type="dxa"/>
            <w:tcBorders>
              <w:top w:val="single" w:sz="4" w:space="0" w:color="046B5C" w:themeColor="text2"/>
              <w:left w:val="nil"/>
              <w:bottom w:val="single" w:sz="4" w:space="0" w:color="5B6771" w:themeColor="accent3"/>
            </w:tcBorders>
            <w:shd w:val="clear" w:color="auto" w:fill="0B2949" w:themeFill="accent1"/>
          </w:tcPr>
          <w:p w14:paraId="36512C7C" w14:textId="77777777" w:rsidR="005E04C2" w:rsidRPr="00EA5BE0" w:rsidRDefault="005E04C2" w:rsidP="001A1E0A">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EA5BE0" w:rsidRPr="00EA5BE0" w14:paraId="05396F2B"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Borders>
              <w:top w:val="single" w:sz="4" w:space="0" w:color="5B6771" w:themeColor="accent3"/>
            </w:tcBorders>
            <w:hideMark/>
          </w:tcPr>
          <w:p w14:paraId="533404AE" w14:textId="0D69AA7D" w:rsidR="00EA5BE0" w:rsidRPr="00CB1C46" w:rsidRDefault="00EA5BE0" w:rsidP="00CB1C46">
            <w:pPr>
              <w:pStyle w:val="TableTextLeft"/>
            </w:pPr>
            <w:r w:rsidRPr="00EA5BE0">
              <w:t xml:space="preserve">3.6.1 For general and abdominal-pelvic surgery patients at very low risk for VTE </w:t>
            </w:r>
            <w:proofErr w:type="gramStart"/>
            <w:r w:rsidRPr="00EA5BE0">
              <w:t>( &lt;</w:t>
            </w:r>
            <w:proofErr w:type="gramEnd"/>
            <w:r w:rsidRPr="00EA5BE0">
              <w:t xml:space="preserve">0.5%; </w:t>
            </w:r>
            <w:proofErr w:type="gramStart"/>
            <w:r w:rsidRPr="00EA5BE0">
              <w:t>Rogers</w:t>
            </w:r>
            <w:proofErr w:type="gramEnd"/>
            <w:r w:rsidRPr="00EA5BE0">
              <w:t xml:space="preserve"> score, &lt;7; Caprini score, 0), we recommend that</w:t>
            </w:r>
          </w:p>
        </w:tc>
        <w:tc>
          <w:tcPr>
            <w:tcW w:w="1710" w:type="dxa"/>
            <w:tcBorders>
              <w:top w:val="single" w:sz="4" w:space="0" w:color="5B6771" w:themeColor="accent3"/>
            </w:tcBorders>
          </w:tcPr>
          <w:p w14:paraId="0DA46938"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435" w:type="dxa"/>
            <w:tcBorders>
              <w:top w:val="single" w:sz="4" w:space="0" w:color="5B6771" w:themeColor="accent3"/>
            </w:tcBorders>
          </w:tcPr>
          <w:p w14:paraId="7765534B"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bookmarkEnd w:id="7"/>
      <w:tr w:rsidR="00CB1C46" w:rsidRPr="00EA5BE0" w14:paraId="36384E92"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30842D4B" w14:textId="7B191C90" w:rsidR="00CB1C46" w:rsidRPr="001A1E0A" w:rsidRDefault="00CB1C46" w:rsidP="00CB1C46">
            <w:pPr>
              <w:pStyle w:val="TableListBullet"/>
            </w:pPr>
            <w:r w:rsidRPr="00EA5BE0">
              <w:t>No specific pharmacologic or</w:t>
            </w:r>
          </w:p>
        </w:tc>
        <w:tc>
          <w:tcPr>
            <w:tcW w:w="1710" w:type="dxa"/>
          </w:tcPr>
          <w:p w14:paraId="59CA5303" w14:textId="5AA66963"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435" w:type="dxa"/>
          </w:tcPr>
          <w:p w14:paraId="41DF7FD8" w14:textId="3D25E3CA"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CB1C46" w:rsidRPr="00EA5BE0" w14:paraId="45EA83C2"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076A6F1C" w14:textId="5AA3D402" w:rsidR="00CB1C46" w:rsidRPr="001A1E0A" w:rsidRDefault="00CB1C46" w:rsidP="00CB1C46">
            <w:pPr>
              <w:pStyle w:val="TableListBullet"/>
            </w:pPr>
            <w:r w:rsidRPr="001A1E0A">
              <w:t>or mechanical prophylaxis be used other than early ambulation.</w:t>
            </w:r>
          </w:p>
        </w:tc>
        <w:tc>
          <w:tcPr>
            <w:tcW w:w="1710" w:type="dxa"/>
          </w:tcPr>
          <w:p w14:paraId="19353847"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tcPr>
          <w:p w14:paraId="29BCAAA0"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2EE2AFC3"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50CD75D4" w14:textId="17AF9D42" w:rsidR="00CB1C46" w:rsidRPr="00EA5BE0" w:rsidRDefault="00CB1C46" w:rsidP="00CB1C46">
            <w:pPr>
              <w:pStyle w:val="TableTextLeft"/>
            </w:pPr>
            <w:r w:rsidRPr="00EA5BE0">
              <w:t xml:space="preserve">3.6.2 For general and abdominal-pelvic surgery patients at low risk for VTE </w:t>
            </w:r>
            <w:proofErr w:type="gramStart"/>
            <w:r w:rsidRPr="00EA5BE0">
              <w:t>( ~</w:t>
            </w:r>
            <w:proofErr w:type="gramEnd"/>
            <w:r w:rsidRPr="00EA5BE0">
              <w:t xml:space="preserve">1.5%; </w:t>
            </w:r>
            <w:proofErr w:type="gramStart"/>
            <w:r w:rsidRPr="00EA5BE0">
              <w:t>Rogers</w:t>
            </w:r>
            <w:proofErr w:type="gramEnd"/>
            <w:r w:rsidRPr="00EA5BE0">
              <w:t xml:space="preserve"> score, 7-10; Caprini score, 1-2), we suggest mechanical prophylaxis, preferably with intermittent pneumatic compression (IPC), over no prophylaxis</w:t>
            </w:r>
            <w:r>
              <w:t>.</w:t>
            </w:r>
          </w:p>
        </w:tc>
        <w:tc>
          <w:tcPr>
            <w:tcW w:w="1710" w:type="dxa"/>
            <w:noWrap/>
            <w:hideMark/>
          </w:tcPr>
          <w:p w14:paraId="752E2360"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06100028"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476D3369"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497D8C47" w14:textId="18C1FC45" w:rsidR="00CB1C46" w:rsidRPr="00EA5BE0" w:rsidRDefault="00CB1C46" w:rsidP="00CB1C46">
            <w:pPr>
              <w:pStyle w:val="TableTextLeft"/>
            </w:pPr>
            <w:r w:rsidRPr="00EA5BE0">
              <w:t xml:space="preserve">3.6.3 For general and abdominal-pelvic surgery patients at moderate risk for VTE (~3.0%; </w:t>
            </w:r>
            <w:proofErr w:type="gramStart"/>
            <w:r w:rsidRPr="00EA5BE0">
              <w:t>Rogers</w:t>
            </w:r>
            <w:proofErr w:type="gramEnd"/>
            <w:r w:rsidRPr="00EA5BE0">
              <w:t xml:space="preserve"> score, &gt;10; Caprini score, 3-4) who are not at high risk for major bleeding complications, we suggest:</w:t>
            </w:r>
          </w:p>
        </w:tc>
        <w:tc>
          <w:tcPr>
            <w:tcW w:w="1710" w:type="dxa"/>
          </w:tcPr>
          <w:p w14:paraId="707B61B9"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tcPr>
          <w:p w14:paraId="4860DF8E"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CB1C46" w:rsidRPr="00EA5BE0" w14:paraId="61A4537A"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1A96244C" w14:textId="12FF13D0" w:rsidR="00CB1C46" w:rsidRPr="00EA5BE0" w:rsidRDefault="00CB1C46" w:rsidP="00CB1C46">
            <w:pPr>
              <w:pStyle w:val="TableListBullet"/>
            </w:pPr>
            <w:r w:rsidRPr="00EA5BE0">
              <w:t>low-molecular-weight heparin (LMWH),</w:t>
            </w:r>
          </w:p>
        </w:tc>
        <w:tc>
          <w:tcPr>
            <w:tcW w:w="1710" w:type="dxa"/>
          </w:tcPr>
          <w:p w14:paraId="0CFB3474"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p>
        </w:tc>
        <w:tc>
          <w:tcPr>
            <w:tcW w:w="1435" w:type="dxa"/>
          </w:tcPr>
          <w:p w14:paraId="1C180C80"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p>
        </w:tc>
      </w:tr>
      <w:tr w:rsidR="00CB1C46" w:rsidRPr="00EA5BE0" w14:paraId="03DF287D"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435A2168" w14:textId="13664C0E" w:rsidR="00CB1C46" w:rsidRPr="00EA5BE0" w:rsidRDefault="00CB1C46" w:rsidP="00CB1C46">
            <w:pPr>
              <w:pStyle w:val="TableListBullet"/>
            </w:pPr>
            <w:r w:rsidRPr="00EA5BE0">
              <w:t>low-dose unfractionated heparin (LDUH),</w:t>
            </w:r>
          </w:p>
        </w:tc>
        <w:tc>
          <w:tcPr>
            <w:tcW w:w="1710" w:type="dxa"/>
          </w:tcPr>
          <w:p w14:paraId="73C05996"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tcPr>
          <w:p w14:paraId="3539C249"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CB1C46" w:rsidRPr="00EA5BE0" w14:paraId="55E32C8A"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2320FF34" w14:textId="568072D3" w:rsidR="00CB1C46" w:rsidRPr="00EA5BE0" w:rsidRDefault="00CB1C46" w:rsidP="00CB1C46">
            <w:pPr>
              <w:pStyle w:val="TableListBullet"/>
            </w:pPr>
            <w:r w:rsidRPr="00EA5BE0">
              <w:t>or mechanical prophylaxis, preferably with IPC, over no prophylaxis</w:t>
            </w:r>
            <w:r>
              <w:t>.</w:t>
            </w:r>
          </w:p>
        </w:tc>
        <w:tc>
          <w:tcPr>
            <w:tcW w:w="1710" w:type="dxa"/>
          </w:tcPr>
          <w:p w14:paraId="43EB45C8"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tcPr>
          <w:p w14:paraId="33E0E5F8"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4020757E"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073094FC" w14:textId="770257CC" w:rsidR="00CB1C46" w:rsidRPr="00EA5BE0" w:rsidRDefault="00CB1C46" w:rsidP="00CB1C46">
            <w:pPr>
              <w:pStyle w:val="TableTextLeft"/>
            </w:pPr>
            <w:r w:rsidRPr="00EA5BE0">
              <w:t>3.6.4 For general and abdominal-pelvic surgery patients at moderate risk for VTE (3.0%; Rogers score, &gt;10; Caprini score, 3-4) who are at high risk for major bleeding complications or those in whom the consequences of bleeding are thought to be particularly severe, we suggest mechanical prophylaxis, preferably with IPC, over no prophylaxis</w:t>
            </w:r>
            <w:r>
              <w:t>.</w:t>
            </w:r>
          </w:p>
        </w:tc>
        <w:tc>
          <w:tcPr>
            <w:tcW w:w="1710" w:type="dxa"/>
            <w:noWrap/>
            <w:hideMark/>
          </w:tcPr>
          <w:p w14:paraId="6DD03BC5"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6891E58E"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560B2D60"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384834BF" w14:textId="77777777" w:rsidR="00CB1C46" w:rsidRPr="00EA5BE0" w:rsidRDefault="00CB1C46" w:rsidP="00CB1C46">
            <w:pPr>
              <w:pStyle w:val="TableTextLeft"/>
              <w:rPr>
                <w:bCs/>
                <w:highlight w:val="yellow"/>
              </w:rPr>
            </w:pPr>
            <w:r w:rsidRPr="00EA5BE0">
              <w:t>3.6.5</w:t>
            </w:r>
            <w:r w:rsidRPr="00EA5BE0">
              <w:rPr>
                <w:bCs/>
              </w:rPr>
              <w:t xml:space="preserve"> </w:t>
            </w:r>
            <w:r w:rsidRPr="00EA5BE0">
              <w:t>For general and abdominal-pelvic surgery patients at high risk for VTE (~6.0%; Caprini score ≥5) who are not at high risk for major bleeding complications, we recommend pharmacologic prophylaxis with LMWH or LDUH over no prophylaxis.</w:t>
            </w:r>
          </w:p>
        </w:tc>
        <w:tc>
          <w:tcPr>
            <w:tcW w:w="1710" w:type="dxa"/>
            <w:noWrap/>
          </w:tcPr>
          <w:p w14:paraId="451C5249"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rPr>
                <w:rFonts w:eastAsia="Calibri"/>
              </w:rPr>
            </w:pPr>
            <w:r w:rsidRPr="00EA5BE0">
              <w:rPr>
                <w:rFonts w:eastAsia="Calibri"/>
              </w:rPr>
              <w:t>1</w:t>
            </w:r>
          </w:p>
        </w:tc>
        <w:tc>
          <w:tcPr>
            <w:tcW w:w="1435" w:type="dxa"/>
          </w:tcPr>
          <w:p w14:paraId="6A8D9E9F"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rPr>
                <w:rFonts w:eastAsia="Calibri"/>
              </w:rPr>
            </w:pPr>
            <w:r w:rsidRPr="00EA5BE0">
              <w:rPr>
                <w:rFonts w:eastAsia="Calibri"/>
              </w:rPr>
              <w:t>B</w:t>
            </w:r>
          </w:p>
        </w:tc>
      </w:tr>
      <w:tr w:rsidR="00CB1C46" w:rsidRPr="00EA5BE0" w14:paraId="6CA3AC5B"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05D8A022" w14:textId="77777777" w:rsidR="00CB1C46" w:rsidRPr="00EA5BE0" w:rsidRDefault="00CB1C46" w:rsidP="00CB1C46">
            <w:pPr>
              <w:pStyle w:val="TableTextLeft"/>
              <w:rPr>
                <w:highlight w:val="yellow"/>
              </w:rPr>
            </w:pPr>
            <w:r w:rsidRPr="00EA5BE0">
              <w:t>We suggest that mechanical prophylaxis with elastic stockings (ES) or IPC should be added to pharmacologic prophylaxis.</w:t>
            </w:r>
          </w:p>
        </w:tc>
        <w:tc>
          <w:tcPr>
            <w:tcW w:w="1710" w:type="dxa"/>
            <w:noWrap/>
          </w:tcPr>
          <w:p w14:paraId="6283ED2D" w14:textId="77777777" w:rsidR="00CB1C46" w:rsidRPr="00EA5BE0" w:rsidDel="001F2466" w:rsidRDefault="00CB1C46" w:rsidP="00EB7E54">
            <w:pPr>
              <w:pStyle w:val="TableTextLeft"/>
              <w:cnfStyle w:val="000000000000" w:firstRow="0" w:lastRow="0" w:firstColumn="0" w:lastColumn="0" w:oddVBand="0" w:evenVBand="0" w:oddHBand="0" w:evenHBand="0" w:firstRowFirstColumn="0" w:firstRowLastColumn="0" w:lastRowFirstColumn="0" w:lastRowLastColumn="0"/>
              <w:rPr>
                <w:rFonts w:eastAsia="Calibri"/>
              </w:rPr>
            </w:pPr>
            <w:r w:rsidRPr="00EA5BE0">
              <w:rPr>
                <w:rFonts w:eastAsia="Calibri"/>
              </w:rPr>
              <w:t>2</w:t>
            </w:r>
          </w:p>
        </w:tc>
        <w:tc>
          <w:tcPr>
            <w:tcW w:w="1435" w:type="dxa"/>
          </w:tcPr>
          <w:p w14:paraId="7A2EB35B" w14:textId="77777777" w:rsidR="00CB1C46" w:rsidRPr="00EA5BE0" w:rsidDel="001F2466" w:rsidRDefault="00CB1C46" w:rsidP="00EB7E54">
            <w:pPr>
              <w:pStyle w:val="TableTextLeft"/>
              <w:cnfStyle w:val="000000000000" w:firstRow="0" w:lastRow="0" w:firstColumn="0" w:lastColumn="0" w:oddVBand="0" w:evenVBand="0" w:oddHBand="0" w:evenHBand="0" w:firstRowFirstColumn="0" w:firstRowLastColumn="0" w:lastRowFirstColumn="0" w:lastRowLastColumn="0"/>
              <w:rPr>
                <w:rFonts w:eastAsia="Calibri"/>
              </w:rPr>
            </w:pPr>
            <w:r w:rsidRPr="00EA5BE0">
              <w:rPr>
                <w:rFonts w:eastAsia="Calibri"/>
              </w:rPr>
              <w:t>C</w:t>
            </w:r>
          </w:p>
        </w:tc>
      </w:tr>
      <w:tr w:rsidR="00CB1C46" w:rsidRPr="00EA5BE0" w14:paraId="087D8CD3"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5E181A77" w14:textId="058BECE5" w:rsidR="00CB1C46" w:rsidRPr="00EA5BE0" w:rsidRDefault="00CB1C46" w:rsidP="00CB1C46">
            <w:pPr>
              <w:pStyle w:val="TableTextLeft"/>
            </w:pPr>
            <w:r w:rsidRPr="00EA5BE0">
              <w:t>3.6.6 For high-VTE-risk patients undergoing abdominal or pelvic surgery for cancer who are not otherwise at high risk for major bleeding complications, we recommend extended duration pharmacologic prophylaxis (4 weeks) with LMWH over limited-duration prophylaxis</w:t>
            </w:r>
            <w:r>
              <w:t>.</w:t>
            </w:r>
          </w:p>
        </w:tc>
        <w:tc>
          <w:tcPr>
            <w:tcW w:w="1710" w:type="dxa"/>
            <w:noWrap/>
            <w:hideMark/>
          </w:tcPr>
          <w:p w14:paraId="5DBC275D"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rPr>
                <w:rFonts w:eastAsia="Calibri"/>
              </w:rPr>
            </w:pPr>
            <w:r w:rsidRPr="00EA5BE0">
              <w:rPr>
                <w:rFonts w:eastAsia="Calibri"/>
              </w:rPr>
              <w:t>1</w:t>
            </w:r>
          </w:p>
        </w:tc>
        <w:tc>
          <w:tcPr>
            <w:tcW w:w="1435" w:type="dxa"/>
            <w:hideMark/>
          </w:tcPr>
          <w:p w14:paraId="163EF65A"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rPr>
                <w:rFonts w:eastAsia="Calibri"/>
              </w:rPr>
            </w:pPr>
            <w:r w:rsidRPr="00EA5BE0">
              <w:rPr>
                <w:rFonts w:eastAsia="Calibri"/>
              </w:rPr>
              <w:t>B</w:t>
            </w:r>
          </w:p>
        </w:tc>
      </w:tr>
      <w:tr w:rsidR="00CB1C46" w:rsidRPr="00EA5BE0" w14:paraId="1739EFFB"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539041FC" w14:textId="7ED643A7" w:rsidR="00CB1C46" w:rsidRPr="00EA5BE0" w:rsidRDefault="00CB1C46" w:rsidP="00CB1C46">
            <w:pPr>
              <w:pStyle w:val="TableTextLeft"/>
            </w:pPr>
            <w:r w:rsidRPr="00EA5BE0">
              <w:t>3.6.7 For high-VTE-risk general and abdominal pelvic surgery patients who are at high risk for major bleeding complications or those in whom the consequences of bleeding are thought to be particularly severe, we suggest use of mechanical prophylaxis, preferably with IPC, over no prophylaxis until the risk of bleeding diminishes and pharmacologic prophylaxis may be initiated</w:t>
            </w:r>
            <w:r>
              <w:t>.</w:t>
            </w:r>
          </w:p>
        </w:tc>
        <w:tc>
          <w:tcPr>
            <w:tcW w:w="1710" w:type="dxa"/>
            <w:noWrap/>
            <w:hideMark/>
          </w:tcPr>
          <w:p w14:paraId="60403763"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rPr>
                <w:rFonts w:eastAsia="Calibri"/>
              </w:rPr>
            </w:pPr>
            <w:r w:rsidRPr="00EA5BE0">
              <w:rPr>
                <w:rFonts w:eastAsia="Calibri"/>
              </w:rPr>
              <w:t>2</w:t>
            </w:r>
          </w:p>
        </w:tc>
        <w:tc>
          <w:tcPr>
            <w:tcW w:w="1435" w:type="dxa"/>
            <w:hideMark/>
          </w:tcPr>
          <w:p w14:paraId="1A99BED0"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rPr>
                <w:rFonts w:eastAsia="Calibri"/>
              </w:rPr>
            </w:pPr>
            <w:r w:rsidRPr="00EA5BE0">
              <w:rPr>
                <w:rFonts w:eastAsia="Calibri"/>
              </w:rPr>
              <w:t>C</w:t>
            </w:r>
          </w:p>
        </w:tc>
      </w:tr>
      <w:tr w:rsidR="00CB1C46" w:rsidRPr="00EA5BE0" w14:paraId="3FBA25BC"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24B82F6D" w14:textId="27377664" w:rsidR="00CB1C46" w:rsidRPr="00EA5BE0" w:rsidRDefault="00CB1C46" w:rsidP="00CB1C46">
            <w:pPr>
              <w:pStyle w:val="TableTextLeft"/>
            </w:pPr>
            <w:r w:rsidRPr="00EA5BE0">
              <w:lastRenderedPageBreak/>
              <w:t>3.6.8 For general and abdominal-pelvic surgery patients at high risk for VTE (6%; Caprini score, ≥5) in whom both LMWH and unfractionated heparin are contraindicated or unavailable and who are not at high risk for major bleeding complications, we suggest low-dose aspirin, fondaparinux, or mechanical prophylaxis, preferably with IPC, over no prophylaxis</w:t>
            </w:r>
            <w:r>
              <w:t>.</w:t>
            </w:r>
          </w:p>
        </w:tc>
        <w:tc>
          <w:tcPr>
            <w:tcW w:w="1710" w:type="dxa"/>
            <w:noWrap/>
            <w:hideMark/>
          </w:tcPr>
          <w:p w14:paraId="490027C3"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26024267"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1E294E33"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63467F9A" w14:textId="547AB97E" w:rsidR="00CB1C46" w:rsidRPr="00EA5BE0" w:rsidRDefault="00CB1C46" w:rsidP="00CB1C46">
            <w:pPr>
              <w:pStyle w:val="TableTextLeft"/>
            </w:pPr>
            <w:r w:rsidRPr="00EA5BE0">
              <w:t>3.6.9 For general and abdominal-pelvic surgery patients, we suggest that an inferior vena cava (IVC) filter should not be used for primary VTE prevention</w:t>
            </w:r>
            <w:r>
              <w:t>.</w:t>
            </w:r>
          </w:p>
        </w:tc>
        <w:tc>
          <w:tcPr>
            <w:tcW w:w="1710" w:type="dxa"/>
            <w:noWrap/>
            <w:hideMark/>
          </w:tcPr>
          <w:p w14:paraId="229A1CC6"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0D4EAC01"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0BE71497"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31A9B7F8" w14:textId="4722E368" w:rsidR="00CB1C46" w:rsidRPr="00EA5BE0" w:rsidRDefault="00CB1C46" w:rsidP="00CB1C46">
            <w:pPr>
              <w:pStyle w:val="TableTextLeft"/>
            </w:pPr>
            <w:r w:rsidRPr="00EA5BE0">
              <w:t>3.6.10 For general and abdominal-pelvic surgery patients, we suggest that periodic surveillance with venous compression ultrasound (VCU) should not be performed</w:t>
            </w:r>
            <w:r>
              <w:t>.</w:t>
            </w:r>
          </w:p>
        </w:tc>
        <w:tc>
          <w:tcPr>
            <w:tcW w:w="1710" w:type="dxa"/>
            <w:noWrap/>
            <w:hideMark/>
          </w:tcPr>
          <w:p w14:paraId="57037CD5"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3BD8EC1E"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01E73F2D"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4838FD66" w14:textId="519309A0" w:rsidR="00CB1C46" w:rsidRPr="00EA5BE0" w:rsidRDefault="00CB1C46" w:rsidP="00CB1C46">
            <w:pPr>
              <w:pStyle w:val="TableRowHead"/>
              <w:rPr>
                <w:color w:val="000000"/>
              </w:rPr>
            </w:pPr>
            <w:r w:rsidRPr="006E326F">
              <w:t>Guidelines focused on Cardiac Surgery</w:t>
            </w:r>
          </w:p>
        </w:tc>
        <w:tc>
          <w:tcPr>
            <w:tcW w:w="1710" w:type="dxa"/>
            <w:shd w:val="clear" w:color="auto" w:fill="0B2949" w:themeFill="accent1"/>
            <w:noWrap/>
          </w:tcPr>
          <w:p w14:paraId="4D5E04B3" w14:textId="77777777" w:rsidR="00CB1C46" w:rsidRPr="00EA5BE0" w:rsidRDefault="00CB1C46" w:rsidP="00CB1C46">
            <w:pPr>
              <w:pStyle w:val="TableTextCentered"/>
              <w:cnfStyle w:val="000000000000" w:firstRow="0" w:lastRow="0" w:firstColumn="0" w:lastColumn="0" w:oddVBand="0" w:evenVBand="0" w:oddHBand="0" w:evenHBand="0" w:firstRowFirstColumn="0" w:firstRowLastColumn="0" w:lastRowFirstColumn="0" w:lastRowLastColumn="0"/>
              <w:rPr>
                <w:color w:val="000000"/>
              </w:rPr>
            </w:pPr>
          </w:p>
        </w:tc>
        <w:tc>
          <w:tcPr>
            <w:tcW w:w="1435" w:type="dxa"/>
            <w:shd w:val="clear" w:color="auto" w:fill="0B2949" w:themeFill="accent1"/>
          </w:tcPr>
          <w:p w14:paraId="2AE72E48" w14:textId="77777777" w:rsidR="00CB1C46" w:rsidRPr="00EA5BE0" w:rsidRDefault="00CB1C46" w:rsidP="00CB1C46">
            <w:pPr>
              <w:pStyle w:val="TableTextCentered"/>
              <w:cnfStyle w:val="000000000000" w:firstRow="0" w:lastRow="0" w:firstColumn="0" w:lastColumn="0" w:oddVBand="0" w:evenVBand="0" w:oddHBand="0" w:evenHBand="0" w:firstRowFirstColumn="0" w:firstRowLastColumn="0" w:lastRowFirstColumn="0" w:lastRowLastColumn="0"/>
              <w:rPr>
                <w:color w:val="000000"/>
              </w:rPr>
            </w:pPr>
          </w:p>
        </w:tc>
      </w:tr>
      <w:tr w:rsidR="00CB1C46" w:rsidRPr="00EA5BE0" w14:paraId="02451E66"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0712AAE4" w14:textId="679E1556" w:rsidR="00CB1C46" w:rsidRPr="00EA5BE0" w:rsidRDefault="00CB1C46" w:rsidP="00CB1C46">
            <w:pPr>
              <w:pStyle w:val="TableTextLeft"/>
            </w:pPr>
            <w:bookmarkStart w:id="8" w:name="_1.2_American_College"/>
            <w:bookmarkEnd w:id="8"/>
            <w:r w:rsidRPr="00EA5BE0">
              <w:t>4.4.1 For cardiac surgery patients with an uncomplicated postoperative course, we suggest use of mechanical prophylaxis, preferably with optimally applied IPC, over either no prophylaxis or pharmacologic prophylaxis</w:t>
            </w:r>
            <w:r>
              <w:t>.</w:t>
            </w:r>
          </w:p>
        </w:tc>
        <w:tc>
          <w:tcPr>
            <w:tcW w:w="1710" w:type="dxa"/>
            <w:noWrap/>
            <w:hideMark/>
          </w:tcPr>
          <w:p w14:paraId="72329942"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1A2E6E2B"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375DF9A4"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30ABDA11" w14:textId="05FBF474" w:rsidR="00CB1C46" w:rsidRPr="00EA5BE0" w:rsidRDefault="00CB1C46" w:rsidP="00CB1C46">
            <w:pPr>
              <w:pStyle w:val="TableTextLeft"/>
            </w:pPr>
            <w:r w:rsidRPr="00EA5BE0">
              <w:t>4.4.2 For cardiac surgery patients whose hospital course is prolonged by one or more no hemorrhagic surgical complications, we suggest adding pharmacologic prophylaxis with LDUH or LMWH to mechanical prophylaxis</w:t>
            </w:r>
            <w:r>
              <w:t>.</w:t>
            </w:r>
          </w:p>
        </w:tc>
        <w:tc>
          <w:tcPr>
            <w:tcW w:w="1710" w:type="dxa"/>
            <w:noWrap/>
            <w:hideMark/>
          </w:tcPr>
          <w:p w14:paraId="4BD97BB2"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716B2B03"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3826B449"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294FAB14" w14:textId="67B65A3F" w:rsidR="00CB1C46" w:rsidRPr="00EA5BE0" w:rsidRDefault="00CB1C46" w:rsidP="00CB1C46">
            <w:pPr>
              <w:pStyle w:val="TableRowHead"/>
              <w:rPr>
                <w:color w:val="000000"/>
              </w:rPr>
            </w:pPr>
            <w:r w:rsidRPr="006E326F">
              <w:t>Guidelines focused on Thoracic Surgery</w:t>
            </w:r>
          </w:p>
        </w:tc>
        <w:tc>
          <w:tcPr>
            <w:tcW w:w="1710" w:type="dxa"/>
            <w:shd w:val="clear" w:color="auto" w:fill="0B2949" w:themeFill="accent1"/>
            <w:noWrap/>
          </w:tcPr>
          <w:p w14:paraId="7062F601" w14:textId="77777777" w:rsidR="00CB1C46" w:rsidRPr="00EA5BE0" w:rsidRDefault="00CB1C46" w:rsidP="00CB1C46">
            <w:pPr>
              <w:pStyle w:val="TableTextCentered"/>
              <w:cnfStyle w:val="000000000000" w:firstRow="0" w:lastRow="0" w:firstColumn="0" w:lastColumn="0" w:oddVBand="0" w:evenVBand="0" w:oddHBand="0" w:evenHBand="0" w:firstRowFirstColumn="0" w:firstRowLastColumn="0" w:lastRowFirstColumn="0" w:lastRowLastColumn="0"/>
              <w:rPr>
                <w:color w:val="000000"/>
              </w:rPr>
            </w:pPr>
          </w:p>
        </w:tc>
        <w:tc>
          <w:tcPr>
            <w:tcW w:w="1435" w:type="dxa"/>
            <w:shd w:val="clear" w:color="auto" w:fill="0B2949" w:themeFill="accent1"/>
          </w:tcPr>
          <w:p w14:paraId="1F84791B" w14:textId="77777777" w:rsidR="00CB1C46" w:rsidRPr="00EA5BE0" w:rsidRDefault="00CB1C46" w:rsidP="00CB1C46">
            <w:pPr>
              <w:pStyle w:val="TableTextCentered"/>
              <w:cnfStyle w:val="000000000000" w:firstRow="0" w:lastRow="0" w:firstColumn="0" w:lastColumn="0" w:oddVBand="0" w:evenVBand="0" w:oddHBand="0" w:evenHBand="0" w:firstRowFirstColumn="0" w:firstRowLastColumn="0" w:lastRowFirstColumn="0" w:lastRowLastColumn="0"/>
              <w:rPr>
                <w:color w:val="000000"/>
              </w:rPr>
            </w:pPr>
          </w:p>
        </w:tc>
      </w:tr>
      <w:tr w:rsidR="00CB1C46" w:rsidRPr="00EA5BE0" w14:paraId="577293F4"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30B1AAF5" w14:textId="23CFAEA5" w:rsidR="00CB1C46" w:rsidRPr="00EA5BE0" w:rsidRDefault="00CB1C46" w:rsidP="00CB1C46">
            <w:pPr>
              <w:pStyle w:val="TableTextLeft"/>
            </w:pPr>
            <w:r w:rsidRPr="00EA5BE0">
              <w:t>5.4.1 For thoracic surgery patients at moderate risk for VTE who are not at high risk for perioperative bleeding, we suggest</w:t>
            </w:r>
            <w:r>
              <w:t>:</w:t>
            </w:r>
            <w:r w:rsidRPr="00EA5BE0">
              <w:t xml:space="preserve"> </w:t>
            </w:r>
          </w:p>
        </w:tc>
        <w:tc>
          <w:tcPr>
            <w:tcW w:w="1710" w:type="dxa"/>
            <w:noWrap/>
            <w:hideMark/>
          </w:tcPr>
          <w:p w14:paraId="2AF85491"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13D1172B"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CB1C46" w:rsidRPr="00EA5BE0" w14:paraId="44A1E941"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5D59EC51" w14:textId="3029BB3E" w:rsidR="00CB1C46" w:rsidRPr="00EA5BE0" w:rsidRDefault="00CB1C46" w:rsidP="00CB1C46">
            <w:pPr>
              <w:pStyle w:val="TableListBullet"/>
            </w:pPr>
            <w:r w:rsidRPr="00EA5BE0">
              <w:t>LDUH,</w:t>
            </w:r>
          </w:p>
        </w:tc>
        <w:tc>
          <w:tcPr>
            <w:tcW w:w="1710" w:type="dxa"/>
            <w:noWrap/>
          </w:tcPr>
          <w:p w14:paraId="5DCBC6FA" w14:textId="7DFEA7B0"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tcPr>
          <w:p w14:paraId="6D9D3FB5" w14:textId="2D73FAF5"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CB1C46" w:rsidRPr="00EA5BE0" w14:paraId="5A77E2E4"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61A2CE7B" w14:textId="4C00F611" w:rsidR="00CB1C46" w:rsidRPr="00EA5BE0" w:rsidRDefault="00CB1C46" w:rsidP="00CB1C46">
            <w:pPr>
              <w:pStyle w:val="TableListBullet"/>
            </w:pPr>
            <w:r w:rsidRPr="00EA5BE0">
              <w:t>LMWH,</w:t>
            </w:r>
          </w:p>
        </w:tc>
        <w:tc>
          <w:tcPr>
            <w:tcW w:w="1710" w:type="dxa"/>
            <w:noWrap/>
          </w:tcPr>
          <w:p w14:paraId="3DD83287"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tcPr>
          <w:p w14:paraId="2A1749D3" w14:textId="77777777" w:rsidR="00CB1C46" w:rsidRPr="00EA5BE0" w:rsidDel="0012259C"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CB1C46" w:rsidRPr="00EA5BE0" w14:paraId="50FD4C92"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44482A5B" w14:textId="3ED82C09" w:rsidR="00CB1C46" w:rsidRPr="00EA5BE0" w:rsidRDefault="00CB1C46" w:rsidP="00CB1C46">
            <w:pPr>
              <w:pStyle w:val="TableListBullet"/>
            </w:pPr>
            <w:r w:rsidRPr="00EA5BE0">
              <w:t>or mechanical prophylaxis with optimally applied IPC over no prophylaxis</w:t>
            </w:r>
            <w:r>
              <w:t>.</w:t>
            </w:r>
          </w:p>
        </w:tc>
        <w:tc>
          <w:tcPr>
            <w:tcW w:w="1710" w:type="dxa"/>
            <w:noWrap/>
          </w:tcPr>
          <w:p w14:paraId="1F8DC39F"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tcPr>
          <w:p w14:paraId="1C966715" w14:textId="77777777" w:rsidR="00CB1C46" w:rsidRPr="00EA5BE0" w:rsidDel="0012259C"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70583E4C"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6C30B2B7" w14:textId="556F51C2" w:rsidR="00CB1C46" w:rsidRPr="00EA5BE0" w:rsidRDefault="00CB1C46" w:rsidP="00CB1C46">
            <w:pPr>
              <w:pStyle w:val="TableTextLeft"/>
            </w:pPr>
            <w:r w:rsidRPr="00EA5BE0">
              <w:t>5.4.2 For thoracic surgery patients at high risk for VTE who are not at high risk for perioperative bleeding, we suggest LDUH or LMWH over no prophylaxis</w:t>
            </w:r>
            <w:r>
              <w:t>.</w:t>
            </w:r>
          </w:p>
        </w:tc>
        <w:tc>
          <w:tcPr>
            <w:tcW w:w="1710" w:type="dxa"/>
            <w:noWrap/>
          </w:tcPr>
          <w:p w14:paraId="23450F0B"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435" w:type="dxa"/>
          </w:tcPr>
          <w:p w14:paraId="2B5ED684"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29538C61"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045ADA3B" w14:textId="1A8183C9" w:rsidR="00CB1C46" w:rsidRPr="00EA5BE0" w:rsidRDefault="00CB1C46" w:rsidP="00CB1C46">
            <w:pPr>
              <w:pStyle w:val="TableTextLeft"/>
            </w:pPr>
            <w:r w:rsidRPr="00EA5BE0">
              <w:t>In addition, we suggest that mechanical prophylaxis with ES or IPC should be added to pharmacologic prophylaxis</w:t>
            </w:r>
            <w:r>
              <w:t>.</w:t>
            </w:r>
          </w:p>
        </w:tc>
        <w:tc>
          <w:tcPr>
            <w:tcW w:w="1710" w:type="dxa"/>
            <w:noWrap/>
          </w:tcPr>
          <w:p w14:paraId="2C72BD36" w14:textId="77777777" w:rsidR="00CB1C46" w:rsidRPr="00EA5BE0" w:rsidDel="0012259C"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tcPr>
          <w:p w14:paraId="48D187CD" w14:textId="77777777" w:rsidR="00CB1C46" w:rsidRPr="00EA5BE0" w:rsidDel="0012259C"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79E4CB9D"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053D34F7" w14:textId="65D5A93E" w:rsidR="00CB1C46" w:rsidRPr="00EA5BE0" w:rsidRDefault="00CB1C46" w:rsidP="00CB1C46">
            <w:pPr>
              <w:pStyle w:val="TableTextLeft"/>
            </w:pPr>
            <w:r w:rsidRPr="00EA5BE0">
              <w:t xml:space="preserve">5.4.3 For thoracic surgery patients who are at high risk for major bleeding, we suggest </w:t>
            </w:r>
            <w:proofErr w:type="gramStart"/>
            <w:r w:rsidRPr="00EA5BE0">
              <w:t>use of</w:t>
            </w:r>
            <w:proofErr w:type="gramEnd"/>
            <w:r w:rsidRPr="00EA5BE0">
              <w:t xml:space="preserve"> mechanical prophylaxis, preferably with optimally applied IPC, over no prophylaxis until the risk of bleeding diminishes and pharmacologic prophylaxis may be initiated</w:t>
            </w:r>
            <w:r>
              <w:t>.</w:t>
            </w:r>
          </w:p>
        </w:tc>
        <w:tc>
          <w:tcPr>
            <w:tcW w:w="1710" w:type="dxa"/>
            <w:noWrap/>
            <w:hideMark/>
          </w:tcPr>
          <w:p w14:paraId="1825A566"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77470056"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3C3F7E65"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1016DD4C" w14:textId="2F4F626B" w:rsidR="00CB1C46" w:rsidRPr="00EA5BE0" w:rsidRDefault="00CB1C46" w:rsidP="00CB1C46">
            <w:pPr>
              <w:pStyle w:val="TableRowHead"/>
              <w:rPr>
                <w:color w:val="000000"/>
              </w:rPr>
            </w:pPr>
            <w:r w:rsidRPr="006E326F">
              <w:t>Guidelines focused on Craniotomy</w:t>
            </w:r>
          </w:p>
        </w:tc>
        <w:tc>
          <w:tcPr>
            <w:tcW w:w="1710" w:type="dxa"/>
            <w:shd w:val="clear" w:color="auto" w:fill="0B2949" w:themeFill="accent1"/>
            <w:noWrap/>
          </w:tcPr>
          <w:p w14:paraId="58347896" w14:textId="77777777" w:rsidR="00CB1C46" w:rsidRPr="00EA5BE0" w:rsidRDefault="00CB1C46" w:rsidP="00CB1C46">
            <w:pPr>
              <w:pStyle w:val="TableTextCentered"/>
              <w:cnfStyle w:val="000000000000" w:firstRow="0" w:lastRow="0" w:firstColumn="0" w:lastColumn="0" w:oddVBand="0" w:evenVBand="0" w:oddHBand="0" w:evenHBand="0" w:firstRowFirstColumn="0" w:firstRowLastColumn="0" w:lastRowFirstColumn="0" w:lastRowLastColumn="0"/>
              <w:rPr>
                <w:color w:val="000000"/>
              </w:rPr>
            </w:pPr>
          </w:p>
        </w:tc>
        <w:tc>
          <w:tcPr>
            <w:tcW w:w="1435" w:type="dxa"/>
            <w:shd w:val="clear" w:color="auto" w:fill="0B2949" w:themeFill="accent1"/>
          </w:tcPr>
          <w:p w14:paraId="7002F35F" w14:textId="77777777" w:rsidR="00CB1C46" w:rsidRPr="00EA5BE0" w:rsidRDefault="00CB1C46" w:rsidP="00CB1C46">
            <w:pPr>
              <w:pStyle w:val="TableTextCentered"/>
              <w:cnfStyle w:val="000000000000" w:firstRow="0" w:lastRow="0" w:firstColumn="0" w:lastColumn="0" w:oddVBand="0" w:evenVBand="0" w:oddHBand="0" w:evenHBand="0" w:firstRowFirstColumn="0" w:firstRowLastColumn="0" w:lastRowFirstColumn="0" w:lastRowLastColumn="0"/>
              <w:rPr>
                <w:color w:val="000000"/>
              </w:rPr>
            </w:pPr>
          </w:p>
        </w:tc>
      </w:tr>
      <w:tr w:rsidR="00CB1C46" w:rsidRPr="00EA5BE0" w14:paraId="1A49D870"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71AC48DD" w14:textId="63DEBC07" w:rsidR="00CB1C46" w:rsidRPr="00EA5BE0" w:rsidRDefault="00CB1C46" w:rsidP="00CB1C46">
            <w:pPr>
              <w:pStyle w:val="TableTextLeft"/>
            </w:pPr>
            <w:r w:rsidRPr="00EA5BE0">
              <w:t>6.4.1 For craniotomy patients, we suggest that mechanical prophylaxis, preferably with IPC, be used over no prophylaxis or pharmacologic prophylaxis</w:t>
            </w:r>
            <w:r>
              <w:t>.</w:t>
            </w:r>
          </w:p>
        </w:tc>
        <w:tc>
          <w:tcPr>
            <w:tcW w:w="1710" w:type="dxa"/>
            <w:noWrap/>
            <w:hideMark/>
          </w:tcPr>
          <w:p w14:paraId="79744789"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7CE93958"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49DA6718"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1E00F0B8" w14:textId="22F9257E" w:rsidR="00CB1C46" w:rsidRPr="00EA5BE0" w:rsidRDefault="00CB1C46" w:rsidP="00CB1C46">
            <w:pPr>
              <w:pStyle w:val="TableTextLeft"/>
            </w:pPr>
            <w:r w:rsidRPr="00EA5BE0">
              <w:t>6.4.2 For craniotomy patients at very high risk for VTE (e.g., those undergoing craniotomy for malignant disease), we suggest adding pharmacologic prophylaxis to mechanical prophylaxis once adequate hemostasis is established and the risk of bleeding decreases</w:t>
            </w:r>
            <w:r>
              <w:t>.</w:t>
            </w:r>
          </w:p>
        </w:tc>
        <w:tc>
          <w:tcPr>
            <w:tcW w:w="1710" w:type="dxa"/>
            <w:noWrap/>
            <w:hideMark/>
          </w:tcPr>
          <w:p w14:paraId="251F86E1"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45863CE1"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6D8C1876"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5AB1D803" w14:textId="77777777" w:rsidR="00CB1C46" w:rsidRPr="006E326F" w:rsidRDefault="00CB1C46" w:rsidP="00CB1C46">
            <w:pPr>
              <w:pStyle w:val="TableRowHead"/>
            </w:pPr>
            <w:r w:rsidRPr="006E326F">
              <w:lastRenderedPageBreak/>
              <w:t>Guidelines focused on Spinal Surgery</w:t>
            </w:r>
          </w:p>
        </w:tc>
        <w:tc>
          <w:tcPr>
            <w:tcW w:w="1710" w:type="dxa"/>
            <w:shd w:val="clear" w:color="auto" w:fill="0B2949" w:themeFill="accent1"/>
            <w:noWrap/>
          </w:tcPr>
          <w:p w14:paraId="73B8D230" w14:textId="77777777" w:rsidR="00CB1C46" w:rsidRPr="006E326F" w:rsidRDefault="00CB1C46" w:rsidP="00CB1C46">
            <w:pPr>
              <w:pStyle w:val="TableRowHead"/>
              <w:cnfStyle w:val="000000000000" w:firstRow="0" w:lastRow="0" w:firstColumn="0" w:lastColumn="0" w:oddVBand="0" w:evenVBand="0" w:oddHBand="0" w:evenHBand="0" w:firstRowFirstColumn="0" w:firstRowLastColumn="0" w:lastRowFirstColumn="0" w:lastRowLastColumn="0"/>
            </w:pPr>
          </w:p>
        </w:tc>
        <w:tc>
          <w:tcPr>
            <w:tcW w:w="1435" w:type="dxa"/>
            <w:shd w:val="clear" w:color="auto" w:fill="0B2949" w:themeFill="accent1"/>
          </w:tcPr>
          <w:p w14:paraId="1464793F" w14:textId="77777777" w:rsidR="00CB1C46" w:rsidRPr="006E326F" w:rsidRDefault="00CB1C46" w:rsidP="00CB1C46">
            <w:pPr>
              <w:pStyle w:val="TableRowHead"/>
              <w:cnfStyle w:val="000000000000" w:firstRow="0" w:lastRow="0" w:firstColumn="0" w:lastColumn="0" w:oddVBand="0" w:evenVBand="0" w:oddHBand="0" w:evenHBand="0" w:firstRowFirstColumn="0" w:firstRowLastColumn="0" w:lastRowFirstColumn="0" w:lastRowLastColumn="0"/>
            </w:pPr>
          </w:p>
        </w:tc>
      </w:tr>
      <w:tr w:rsidR="00CB1C46" w:rsidRPr="00EA5BE0" w14:paraId="0D0C29FB"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32935803" w14:textId="5FF95DCD" w:rsidR="00CB1C46" w:rsidRPr="00EA5BE0" w:rsidRDefault="00CB1C46" w:rsidP="00CB1C46">
            <w:pPr>
              <w:pStyle w:val="TableTextLeft"/>
            </w:pPr>
            <w:r w:rsidRPr="00EA5BE0">
              <w:t>7.4.1 For patients undergoing spinal surgery, we suggest mechanical prophylaxis, preferably with IPC, over no prophylaxis, unfractionated heparin, or LMWH</w:t>
            </w:r>
            <w:r>
              <w:t>.</w:t>
            </w:r>
          </w:p>
        </w:tc>
        <w:tc>
          <w:tcPr>
            <w:tcW w:w="1710" w:type="dxa"/>
            <w:noWrap/>
            <w:hideMark/>
          </w:tcPr>
          <w:p w14:paraId="59A4295B"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09D35FBA"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6EB0EAA5"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26B339A2" w14:textId="13FDB52A" w:rsidR="00CB1C46" w:rsidRPr="00EA5BE0" w:rsidRDefault="00CB1C46" w:rsidP="00CB1C46">
            <w:pPr>
              <w:pStyle w:val="TableTextLeft"/>
            </w:pPr>
            <w:r w:rsidRPr="00EA5BE0">
              <w:t>7.4.2 For patients undergoing spinal surgery at high risk for VTE (including those with malignant disease or those undergoing surgery with a combined anterior-posterior approach), we suggest adding pharmacologic prophylaxis to mechanical prophylaxis once adequate hemostasis is established and the risk of bleeding decreases</w:t>
            </w:r>
            <w:r>
              <w:t>.</w:t>
            </w:r>
          </w:p>
        </w:tc>
        <w:tc>
          <w:tcPr>
            <w:tcW w:w="1710" w:type="dxa"/>
            <w:noWrap/>
            <w:hideMark/>
          </w:tcPr>
          <w:p w14:paraId="44B6BF36"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31D25FC6"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2BC5F549"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549AC626" w14:textId="22967FF5" w:rsidR="00CB1C46" w:rsidRPr="00EA5BE0" w:rsidRDefault="00CB1C46" w:rsidP="00CB1C46">
            <w:pPr>
              <w:pStyle w:val="TableRowHead"/>
              <w:rPr>
                <w:color w:val="000000"/>
              </w:rPr>
            </w:pPr>
            <w:r w:rsidRPr="006E326F">
              <w:t>Guidelines focused on Patients with Trauma</w:t>
            </w:r>
          </w:p>
        </w:tc>
        <w:tc>
          <w:tcPr>
            <w:tcW w:w="1710" w:type="dxa"/>
            <w:shd w:val="clear" w:color="auto" w:fill="0B2949" w:themeFill="accent1"/>
            <w:noWrap/>
          </w:tcPr>
          <w:p w14:paraId="50B09478" w14:textId="77777777" w:rsidR="00CB1C46" w:rsidRPr="00EA5BE0" w:rsidRDefault="00CB1C46" w:rsidP="00CB1C46">
            <w:pPr>
              <w:pStyle w:val="TableTextCentered"/>
              <w:cnfStyle w:val="000000000000" w:firstRow="0" w:lastRow="0" w:firstColumn="0" w:lastColumn="0" w:oddVBand="0" w:evenVBand="0" w:oddHBand="0" w:evenHBand="0" w:firstRowFirstColumn="0" w:firstRowLastColumn="0" w:lastRowFirstColumn="0" w:lastRowLastColumn="0"/>
              <w:rPr>
                <w:color w:val="000000"/>
              </w:rPr>
            </w:pPr>
          </w:p>
        </w:tc>
        <w:tc>
          <w:tcPr>
            <w:tcW w:w="1435" w:type="dxa"/>
            <w:shd w:val="clear" w:color="auto" w:fill="0B2949" w:themeFill="accent1"/>
          </w:tcPr>
          <w:p w14:paraId="213C9251" w14:textId="77777777" w:rsidR="00CB1C46" w:rsidRPr="00EA5BE0" w:rsidRDefault="00CB1C46" w:rsidP="00CB1C46">
            <w:pPr>
              <w:pStyle w:val="TableTextCentered"/>
              <w:cnfStyle w:val="000000000000" w:firstRow="0" w:lastRow="0" w:firstColumn="0" w:lastColumn="0" w:oddVBand="0" w:evenVBand="0" w:oddHBand="0" w:evenHBand="0" w:firstRowFirstColumn="0" w:firstRowLastColumn="0" w:lastRowFirstColumn="0" w:lastRowLastColumn="0"/>
              <w:rPr>
                <w:color w:val="000000"/>
              </w:rPr>
            </w:pPr>
          </w:p>
        </w:tc>
      </w:tr>
      <w:tr w:rsidR="00CB1C46" w:rsidRPr="00EA5BE0" w14:paraId="1063A598"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2402AEFF" w14:textId="34105DA8" w:rsidR="00CB1C46" w:rsidRPr="00EA5BE0" w:rsidRDefault="00CB1C46" w:rsidP="00CB1C46">
            <w:pPr>
              <w:pStyle w:val="TableTextLeft"/>
            </w:pPr>
            <w:r w:rsidRPr="00EA5BE0">
              <w:t>8.4.1 For major trauma patients, we suggest use of LDUH, LMWH, or mechanical prophylaxis, preferably with IPC, over no prophylaxis</w:t>
            </w:r>
            <w:r>
              <w:t>.</w:t>
            </w:r>
          </w:p>
        </w:tc>
        <w:tc>
          <w:tcPr>
            <w:tcW w:w="1710" w:type="dxa"/>
            <w:noWrap/>
            <w:hideMark/>
          </w:tcPr>
          <w:p w14:paraId="16003565"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210D257B"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4203E6F2"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59D47DC0" w14:textId="4F809127" w:rsidR="00CB1C46" w:rsidRPr="00EA5BE0" w:rsidRDefault="00CB1C46" w:rsidP="00CB1C46">
            <w:pPr>
              <w:pStyle w:val="TableTextLeft"/>
            </w:pPr>
            <w:r w:rsidRPr="00EA5BE0">
              <w:t>8.4.2 For major trauma patients at high risk for VTE (including those with acute spinal cord injury, traumatic brain injury, and spinal surgery for trauma), we suggest adding mechanical prophylaxis to pharmacologic prophylaxis when not contraindicated by lower extremity</w:t>
            </w:r>
            <w:r w:rsidR="00357938">
              <w:t xml:space="preserve"> </w:t>
            </w:r>
            <w:r w:rsidRPr="00EA5BE0">
              <w:t>injury</w:t>
            </w:r>
            <w:r>
              <w:t>.</w:t>
            </w:r>
          </w:p>
        </w:tc>
        <w:tc>
          <w:tcPr>
            <w:tcW w:w="1710" w:type="dxa"/>
            <w:noWrap/>
            <w:hideMark/>
          </w:tcPr>
          <w:p w14:paraId="47E91E2B"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55373548"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4A5ABB7A"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2ABF98F3" w14:textId="06336EE2" w:rsidR="00CB1C46" w:rsidRPr="00EA5BE0" w:rsidRDefault="00CB1C46" w:rsidP="00CB1C46">
            <w:pPr>
              <w:pStyle w:val="TableTextLeft"/>
            </w:pPr>
            <w:r w:rsidRPr="00EA5BE0">
              <w:t>8.4.3 For major trauma patients in whom LMWH and LDUH are contraindicated, we suggest mechanical prophylaxis, preferably with IPC, over no prophylaxis when not contraindicated by lower-extremity injury. We suggest adding pharmacologic prophylaxis with either LMWH or LDUH when the risk of bleeding diminishes or the contraindication to heparin resolves</w:t>
            </w:r>
            <w:r>
              <w:t>.</w:t>
            </w:r>
          </w:p>
        </w:tc>
        <w:tc>
          <w:tcPr>
            <w:tcW w:w="1710" w:type="dxa"/>
            <w:noWrap/>
            <w:hideMark/>
          </w:tcPr>
          <w:p w14:paraId="135B5D40"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331511DB"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32CB47B1"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15D704A6" w14:textId="034F5EEC" w:rsidR="00CB1C46" w:rsidRPr="00EA5BE0" w:rsidRDefault="00CB1C46" w:rsidP="00CB1C46">
            <w:pPr>
              <w:pStyle w:val="TableTextLeft"/>
            </w:pPr>
            <w:r w:rsidRPr="00EA5BE0">
              <w:t>8.4.4 For major trauma patients, we suggest that an IVC filter should not be used for primary VTE prevention</w:t>
            </w:r>
            <w:r>
              <w:t>.</w:t>
            </w:r>
          </w:p>
        </w:tc>
        <w:tc>
          <w:tcPr>
            <w:tcW w:w="1710" w:type="dxa"/>
            <w:noWrap/>
            <w:hideMark/>
          </w:tcPr>
          <w:p w14:paraId="74DA1929"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6E043752"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B1C46" w:rsidRPr="00EA5BE0" w14:paraId="41B46D8D"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3B8A115D" w14:textId="53DFBBE1" w:rsidR="00CB1C46" w:rsidRPr="00EA5BE0" w:rsidRDefault="00CB1C46" w:rsidP="00CB1C46">
            <w:pPr>
              <w:pStyle w:val="TableTextLeft"/>
            </w:pPr>
            <w:r w:rsidRPr="00EA5BE0">
              <w:t>8.4.5 For major trauma patients, we suggest that periodic surveillance with VCU should not be performed</w:t>
            </w:r>
            <w:r>
              <w:t>.</w:t>
            </w:r>
          </w:p>
        </w:tc>
        <w:tc>
          <w:tcPr>
            <w:tcW w:w="1710" w:type="dxa"/>
            <w:noWrap/>
            <w:hideMark/>
          </w:tcPr>
          <w:p w14:paraId="3AC9023D"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435" w:type="dxa"/>
            <w:hideMark/>
          </w:tcPr>
          <w:p w14:paraId="4C67B5C0" w14:textId="77777777" w:rsidR="00CB1C46" w:rsidRPr="00EA5BE0" w:rsidRDefault="00CB1C46"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bl>
    <w:p w14:paraId="41DB9C27" w14:textId="61B0B29C" w:rsidR="00EA5BE0" w:rsidRPr="00EA5BE0" w:rsidRDefault="004B31D8" w:rsidP="00FC54B6">
      <w:pPr>
        <w:pStyle w:val="H2"/>
        <w:rPr>
          <w:rFonts w:eastAsia="Times New Roman"/>
        </w:rPr>
      </w:pPr>
      <w:bookmarkStart w:id="9" w:name="_Toc159509361"/>
      <w:bookmarkStart w:id="10" w:name="_Toc195287982"/>
      <w:r>
        <w:rPr>
          <w:rFonts w:eastAsia="Times New Roman"/>
          <w:szCs w:val="24"/>
        </w:rPr>
        <w:t>2.</w:t>
      </w:r>
      <w:r w:rsidR="000D4E34">
        <w:rPr>
          <w:rFonts w:eastAsia="Times New Roman"/>
          <w:szCs w:val="24"/>
        </w:rPr>
        <w:tab/>
      </w:r>
      <w:r w:rsidR="006C73A1">
        <w:rPr>
          <w:rFonts w:eastAsia="Times New Roman"/>
          <w:szCs w:val="24"/>
        </w:rPr>
        <w:t>ACCP/</w:t>
      </w:r>
      <w:r w:rsidR="00EA5BE0" w:rsidRPr="00EA5BE0">
        <w:rPr>
          <w:rFonts w:eastAsia="Times New Roman"/>
        </w:rPr>
        <w:t>CHEST: 2012</w:t>
      </w:r>
      <w:bookmarkStart w:id="11" w:name="OLE_LINK1"/>
      <w:bookmarkEnd w:id="9"/>
      <w:r w:rsidR="00BF0037" w:rsidRPr="00BF0037">
        <w:t xml:space="preserve"> </w:t>
      </w:r>
      <w:r w:rsidR="00BF0037" w:rsidRPr="00BF0037">
        <w:rPr>
          <w:rFonts w:eastAsia="Times New Roman"/>
        </w:rPr>
        <w:t>Prevention of VTE in Orthopedic Surgery Patients</w:t>
      </w:r>
      <w:bookmarkEnd w:id="10"/>
    </w:p>
    <w:p w14:paraId="21026D85" w14:textId="77777777" w:rsidR="00EA5BE0" w:rsidRPr="0013659F" w:rsidRDefault="00EA5BE0" w:rsidP="00357938">
      <w:pPr>
        <w:pStyle w:val="Paragraph"/>
        <w:rPr>
          <w:rStyle w:val="Hyperlink"/>
        </w:rPr>
      </w:pPr>
      <w:r w:rsidRPr="007C52EE">
        <w:fldChar w:fldCharType="begin"/>
      </w:r>
      <w:r w:rsidRPr="007C52EE">
        <w:instrText xml:space="preserve"> HYPERLINK "https://journal.chestnet.org/article/S0012-3692(12)60126-3/fulltext" </w:instrText>
      </w:r>
      <w:r w:rsidRPr="007C52EE">
        <w:fldChar w:fldCharType="separate"/>
      </w:r>
      <w:r w:rsidRPr="0013659F">
        <w:rPr>
          <w:rStyle w:val="Hyperlink"/>
        </w:rPr>
        <w:t>Falck-Ytter, Y., Francis, C. W., Johanson, N. A., Curley, C., Dahl, O. E., Schulman, S., Ortel, T. L., Pauker, S. G., &amp; Colwell, C. W. (2012). Prevention of VTE in orthopedic surgery patients. Antithrombotic therapy and prevention of thrombosis, 9th ed: American College of Chest Physicians evidence-based clinical practice guidelines. Chest, 141(2), e278S-e325S. https://doi.org/10.1378/chest.11-2404</w:t>
      </w:r>
    </w:p>
    <w:bookmarkEnd w:id="11"/>
    <w:p w14:paraId="753049A0" w14:textId="008715F4" w:rsidR="00EA5BE0" w:rsidRPr="007C52EE" w:rsidRDefault="00EA5BE0" w:rsidP="0013659F">
      <w:pPr>
        <w:pStyle w:val="Paragraph"/>
      </w:pPr>
      <w:r w:rsidRPr="007C52EE">
        <w:fldChar w:fldCharType="end"/>
      </w:r>
      <w:r w:rsidR="006C73A1">
        <w:t>ACCP/</w:t>
      </w:r>
      <w:r w:rsidR="00290E65">
        <w:t>CHEST</w:t>
      </w:r>
      <w:r w:rsidRPr="007C52EE">
        <w:t xml:space="preserve"> provides guidance via clinical practice recommendations for the prevention of VTE in orthopedic surgical patients. This guideline is based on a systematic review of the literature. The outcomes assessed include fatal and symptomatic</w:t>
      </w:r>
      <w:r w:rsidR="005526A3">
        <w:t xml:space="preserve"> PE</w:t>
      </w:r>
      <w:r w:rsidRPr="007C52EE">
        <w:t xml:space="preserve"> and symptomatic DVT, and symptomatic bleeding events. </w:t>
      </w:r>
    </w:p>
    <w:p w14:paraId="588575CF" w14:textId="10B114AA" w:rsidR="00EA5BE0" w:rsidRPr="007C52EE" w:rsidRDefault="00EA5BE0" w:rsidP="00357938">
      <w:pPr>
        <w:pStyle w:val="Paragraph"/>
      </w:pPr>
      <w:r w:rsidRPr="007C52EE">
        <w:t>The methodology for determining strength of recommendations (</w:t>
      </w:r>
      <w:r w:rsidRPr="007C52EE">
        <w:rPr>
          <w:b/>
          <w:bCs/>
        </w:rPr>
        <w:t>Table 5</w:t>
      </w:r>
      <w:r w:rsidRPr="007C52EE">
        <w:t>) and strength of evidence (</w:t>
      </w:r>
      <w:r w:rsidRPr="007C52EE">
        <w:rPr>
          <w:b/>
          <w:bCs/>
        </w:rPr>
        <w:t xml:space="preserve">Tables 6 and 7) </w:t>
      </w:r>
      <w:r w:rsidRPr="007C52EE">
        <w:t>was adopted from the classification developed by the GRADE workgroup and is presented below, followed by key guideline recommendation statements that inform the proposed measure (</w:t>
      </w:r>
      <w:r w:rsidRPr="007C52EE">
        <w:rPr>
          <w:b/>
          <w:bCs/>
        </w:rPr>
        <w:t xml:space="preserve">Table 8). </w:t>
      </w:r>
    </w:p>
    <w:p w14:paraId="13057B9D" w14:textId="53B7501E" w:rsidR="00EA5BE0" w:rsidRPr="007C52EE" w:rsidRDefault="00EA5BE0" w:rsidP="00357938">
      <w:pPr>
        <w:pStyle w:val="Paragraph"/>
      </w:pPr>
      <w:r w:rsidRPr="007C52EE">
        <w:lastRenderedPageBreak/>
        <w:t>Within each recommendation, the strength of recommendation is indicated as strong recommendation (1), or weak/conditional recommendation</w:t>
      </w:r>
      <w:r w:rsidR="002000CC">
        <w:t> </w:t>
      </w:r>
      <w:r w:rsidRPr="007C52EE">
        <w:t>(2).</w:t>
      </w:r>
    </w:p>
    <w:p w14:paraId="4641366A" w14:textId="7304D199" w:rsidR="00EA5BE0" w:rsidRPr="00EA5BE0" w:rsidRDefault="00EA5BE0" w:rsidP="00BF659D">
      <w:pPr>
        <w:pStyle w:val="TableTitle"/>
        <w:rPr>
          <w:rFonts w:ascii="Calibri" w:eastAsia="Calibri" w:hAnsi="Calibri" w:cs="Calibri"/>
          <w:sz w:val="12"/>
          <w:szCs w:val="8"/>
        </w:rPr>
      </w:pPr>
      <w:r w:rsidRPr="00BF659D">
        <w:rPr>
          <w:b/>
          <w:bCs/>
        </w:rPr>
        <w:t>Table 5</w:t>
      </w:r>
      <w:r w:rsidR="00BF659D" w:rsidRPr="00BF659D">
        <w:rPr>
          <w:b/>
          <w:bCs/>
        </w:rPr>
        <w:t>.</w:t>
      </w:r>
      <w:r w:rsidRPr="00C02770">
        <w:t xml:space="preserve"> </w:t>
      </w:r>
      <w:r w:rsidR="00C36921">
        <w:t>ACCP/</w:t>
      </w:r>
      <w:r w:rsidRPr="00C02770">
        <w:t>CHEST (2012)</w:t>
      </w:r>
      <w:r w:rsidR="005E1718">
        <w:t xml:space="preserve"> </w:t>
      </w:r>
      <w:r w:rsidRPr="00C02770">
        <w:t>Strength of Recommendation Criteria (GRADE)</w:t>
      </w:r>
    </w:p>
    <w:tbl>
      <w:tblPr>
        <w:tblStyle w:val="AlternateTable"/>
        <w:tblW w:w="5000" w:type="pct"/>
        <w:tblLook w:val="04A0" w:firstRow="1" w:lastRow="0" w:firstColumn="1" w:lastColumn="0" w:noHBand="0" w:noVBand="1"/>
      </w:tblPr>
      <w:tblGrid>
        <w:gridCol w:w="2432"/>
        <w:gridCol w:w="2522"/>
        <w:gridCol w:w="8006"/>
      </w:tblGrid>
      <w:tr w:rsidR="00EA5BE0" w:rsidRPr="00EA5BE0" w14:paraId="178CB7EE" w14:textId="77777777" w:rsidTr="00EB7E5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430" w:type="dxa"/>
            <w:vAlign w:val="bottom"/>
          </w:tcPr>
          <w:p w14:paraId="4ED154A7" w14:textId="77777777" w:rsidR="00EA5BE0" w:rsidRPr="00EA5BE0" w:rsidRDefault="00EA5BE0" w:rsidP="00BF659D">
            <w:pPr>
              <w:pStyle w:val="TableHeaderLeft"/>
              <w:rPr>
                <w:b w:val="0"/>
              </w:rPr>
            </w:pPr>
            <w:r w:rsidRPr="00EA5BE0">
              <w:t>Recommendation Grading</w:t>
            </w:r>
          </w:p>
        </w:tc>
        <w:tc>
          <w:tcPr>
            <w:tcW w:w="2520" w:type="dxa"/>
            <w:vAlign w:val="bottom"/>
            <w:hideMark/>
          </w:tcPr>
          <w:p w14:paraId="4FA963D5" w14:textId="77777777" w:rsidR="00EA5BE0" w:rsidRPr="00EA5BE0" w:rsidRDefault="00EA5BE0" w:rsidP="00BF659D">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Meaning</w:t>
            </w:r>
          </w:p>
        </w:tc>
        <w:tc>
          <w:tcPr>
            <w:tcW w:w="8000" w:type="dxa"/>
            <w:vAlign w:val="bottom"/>
            <w:hideMark/>
          </w:tcPr>
          <w:p w14:paraId="3067C210" w14:textId="77777777" w:rsidR="00EA5BE0" w:rsidRPr="00EA5BE0" w:rsidRDefault="00EA5BE0" w:rsidP="00BF659D">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Rationale</w:t>
            </w:r>
          </w:p>
        </w:tc>
      </w:tr>
      <w:tr w:rsidR="00EA5BE0" w:rsidRPr="00EA5BE0" w14:paraId="10D6B78E" w14:textId="77777777" w:rsidTr="00EB7E54">
        <w:tc>
          <w:tcPr>
            <w:cnfStyle w:val="001000000000" w:firstRow="0" w:lastRow="0" w:firstColumn="1" w:lastColumn="0" w:oddVBand="0" w:evenVBand="0" w:oddHBand="0" w:evenHBand="0" w:firstRowFirstColumn="0" w:firstRowLastColumn="0" w:lastRowFirstColumn="0" w:lastRowLastColumn="0"/>
            <w:tcW w:w="2430" w:type="dxa"/>
          </w:tcPr>
          <w:p w14:paraId="0C78F051" w14:textId="77777777" w:rsidR="00EA5BE0" w:rsidRPr="00EA5BE0" w:rsidRDefault="00EA5BE0" w:rsidP="00BF659D">
            <w:pPr>
              <w:pStyle w:val="TableTextLeft"/>
            </w:pPr>
            <w:r w:rsidRPr="00EA5BE0">
              <w:t>1</w:t>
            </w:r>
          </w:p>
        </w:tc>
        <w:tc>
          <w:tcPr>
            <w:tcW w:w="2520" w:type="dxa"/>
          </w:tcPr>
          <w:p w14:paraId="16A81883" w14:textId="77777777" w:rsidR="00EA5BE0" w:rsidRPr="00EA5BE0" w:rsidRDefault="00EA5BE0" w:rsidP="00BF659D">
            <w:pPr>
              <w:pStyle w:val="TableTextLeft"/>
              <w:cnfStyle w:val="000000000000" w:firstRow="0" w:lastRow="0" w:firstColumn="0" w:lastColumn="0" w:oddVBand="0" w:evenVBand="0" w:oddHBand="0" w:evenHBand="0" w:firstRowFirstColumn="0" w:firstRowLastColumn="0" w:lastRowFirstColumn="0" w:lastRowLastColumn="0"/>
            </w:pPr>
            <w:r w:rsidRPr="00EA5BE0">
              <w:t>Strong</w:t>
            </w:r>
          </w:p>
        </w:tc>
        <w:tc>
          <w:tcPr>
            <w:tcW w:w="8000" w:type="dxa"/>
          </w:tcPr>
          <w:p w14:paraId="49C11F33" w14:textId="77777777" w:rsidR="00EA5BE0" w:rsidRPr="00EA5BE0" w:rsidRDefault="00EA5BE0" w:rsidP="00BF659D">
            <w:pPr>
              <w:pStyle w:val="TableTextLeft"/>
              <w:cnfStyle w:val="000000000000" w:firstRow="0" w:lastRow="0" w:firstColumn="0" w:lastColumn="0" w:oddVBand="0" w:evenVBand="0" w:oddHBand="0" w:evenHBand="0" w:firstRowFirstColumn="0" w:firstRowLastColumn="0" w:lastRowFirstColumn="0" w:lastRowLastColumn="0"/>
            </w:pPr>
            <w:r w:rsidRPr="00EA5BE0">
              <w:rPr>
                <w:rFonts w:eastAsia="Calibri"/>
                <w:shd w:val="clear" w:color="auto" w:fill="FFFFFF"/>
              </w:rPr>
              <w:t>The panel is highly confident of the balance between desirable and undesirable consequences. </w:t>
            </w:r>
          </w:p>
        </w:tc>
      </w:tr>
      <w:tr w:rsidR="00EA5BE0" w:rsidRPr="00EA5BE0" w14:paraId="0DE6C91B" w14:textId="77777777" w:rsidTr="00EB7E54">
        <w:tc>
          <w:tcPr>
            <w:cnfStyle w:val="001000000000" w:firstRow="0" w:lastRow="0" w:firstColumn="1" w:lastColumn="0" w:oddVBand="0" w:evenVBand="0" w:oddHBand="0" w:evenHBand="0" w:firstRowFirstColumn="0" w:firstRowLastColumn="0" w:lastRowFirstColumn="0" w:lastRowLastColumn="0"/>
            <w:tcW w:w="2430" w:type="dxa"/>
          </w:tcPr>
          <w:p w14:paraId="184C75C4" w14:textId="77777777" w:rsidR="00EA5BE0" w:rsidRPr="00EA5BE0" w:rsidRDefault="00EA5BE0" w:rsidP="00BF659D">
            <w:pPr>
              <w:pStyle w:val="TableTextLeft"/>
            </w:pPr>
            <w:r w:rsidRPr="00EA5BE0">
              <w:t>2</w:t>
            </w:r>
          </w:p>
        </w:tc>
        <w:tc>
          <w:tcPr>
            <w:tcW w:w="2520" w:type="dxa"/>
          </w:tcPr>
          <w:p w14:paraId="484E9600" w14:textId="77777777" w:rsidR="00EA5BE0" w:rsidRPr="00EA5BE0" w:rsidRDefault="00EA5BE0" w:rsidP="00BF659D">
            <w:pPr>
              <w:pStyle w:val="TableTextLeft"/>
              <w:cnfStyle w:val="000000000000" w:firstRow="0" w:lastRow="0" w:firstColumn="0" w:lastColumn="0" w:oddVBand="0" w:evenVBand="0" w:oddHBand="0" w:evenHBand="0" w:firstRowFirstColumn="0" w:firstRowLastColumn="0" w:lastRowFirstColumn="0" w:lastRowLastColumn="0"/>
            </w:pPr>
            <w:r w:rsidRPr="00EA5BE0">
              <w:t>Weak/Conditional</w:t>
            </w:r>
          </w:p>
        </w:tc>
        <w:tc>
          <w:tcPr>
            <w:tcW w:w="8000" w:type="dxa"/>
          </w:tcPr>
          <w:p w14:paraId="09DD67E1" w14:textId="77777777" w:rsidR="00EA5BE0" w:rsidRPr="00EA5BE0" w:rsidRDefault="00EA5BE0" w:rsidP="00BF659D">
            <w:pPr>
              <w:pStyle w:val="TableTextLeft"/>
              <w:cnfStyle w:val="000000000000" w:firstRow="0" w:lastRow="0" w:firstColumn="0" w:lastColumn="0" w:oddVBand="0" w:evenVBand="0" w:oddHBand="0" w:evenHBand="0" w:firstRowFirstColumn="0" w:firstRowLastColumn="0" w:lastRowFirstColumn="0" w:lastRowLastColumn="0"/>
            </w:pPr>
            <w:r w:rsidRPr="00EA5BE0">
              <w:rPr>
                <w:rFonts w:eastAsia="Calibri"/>
                <w:shd w:val="clear" w:color="auto" w:fill="FFFFFF"/>
              </w:rPr>
              <w:t>The panel is less confident of the balance between desirable and undesirable consequences </w:t>
            </w:r>
          </w:p>
        </w:tc>
      </w:tr>
    </w:tbl>
    <w:p w14:paraId="301FF631" w14:textId="77777777" w:rsidR="00EA5BE0" w:rsidRPr="007C52EE" w:rsidRDefault="00EA5BE0" w:rsidP="00BF659D">
      <w:pPr>
        <w:pStyle w:val="ParagraphContinued"/>
      </w:pPr>
      <w:r w:rsidRPr="007C52EE">
        <w:t xml:space="preserve">Within each recommendation, the quality of the supporting evidence is shown as high (A), moderate (B), or low/very low (C). </w:t>
      </w:r>
    </w:p>
    <w:p w14:paraId="5C661906" w14:textId="2AFEE3DE" w:rsidR="00EA5BE0" w:rsidRPr="00EA5BE0" w:rsidRDefault="00EA5BE0" w:rsidP="007C52EE">
      <w:pPr>
        <w:pStyle w:val="TableTitle"/>
      </w:pPr>
      <w:r w:rsidRPr="00831A86">
        <w:rPr>
          <w:b/>
          <w:bCs/>
        </w:rPr>
        <w:t>Table 6</w:t>
      </w:r>
      <w:r w:rsidR="00831A86" w:rsidRPr="00831A86">
        <w:rPr>
          <w:b/>
          <w:bCs/>
        </w:rPr>
        <w:t>.</w:t>
      </w:r>
      <w:r w:rsidRPr="00831A86">
        <w:rPr>
          <w:b/>
          <w:bCs/>
        </w:rPr>
        <w:t xml:space="preserve"> </w:t>
      </w:r>
      <w:r w:rsidR="00C36921">
        <w:t>ACCP/</w:t>
      </w:r>
      <w:r w:rsidRPr="00EA5BE0">
        <w:t>CHEST (2012)</w:t>
      </w:r>
      <w:r w:rsidR="005E1718">
        <w:t xml:space="preserve"> </w:t>
      </w:r>
      <w:r w:rsidRPr="00EA5BE0">
        <w:t>Strength of Evidence Criteria (GRADE)</w:t>
      </w:r>
    </w:p>
    <w:tbl>
      <w:tblPr>
        <w:tblStyle w:val="AlternateTable"/>
        <w:tblW w:w="0" w:type="auto"/>
        <w:tblLook w:val="04A0" w:firstRow="1" w:lastRow="0" w:firstColumn="1" w:lastColumn="0" w:noHBand="0" w:noVBand="1"/>
      </w:tblPr>
      <w:tblGrid>
        <w:gridCol w:w="1710"/>
        <w:gridCol w:w="2340"/>
        <w:gridCol w:w="8900"/>
      </w:tblGrid>
      <w:tr w:rsidR="00EA5BE0" w:rsidRPr="00EA5BE0" w14:paraId="2061CE56" w14:textId="77777777" w:rsidTr="002000CC">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1710" w:type="dxa"/>
            <w:vAlign w:val="bottom"/>
          </w:tcPr>
          <w:p w14:paraId="10CE4897" w14:textId="77777777" w:rsidR="00EA5BE0" w:rsidRPr="00EA5BE0" w:rsidRDefault="00EA5BE0" w:rsidP="002000CC">
            <w:pPr>
              <w:pStyle w:val="TableHeaderLeft"/>
              <w:rPr>
                <w:b w:val="0"/>
              </w:rPr>
            </w:pPr>
            <w:r w:rsidRPr="00EA5BE0">
              <w:t>Evidence Grading</w:t>
            </w:r>
          </w:p>
        </w:tc>
        <w:tc>
          <w:tcPr>
            <w:tcW w:w="2340" w:type="dxa"/>
            <w:vAlign w:val="bottom"/>
            <w:hideMark/>
          </w:tcPr>
          <w:p w14:paraId="54C38360" w14:textId="77777777" w:rsidR="00EA5BE0" w:rsidRPr="00EA5BE0" w:rsidRDefault="00EA5BE0" w:rsidP="002000CC">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c>
          <w:tcPr>
            <w:tcW w:w="8900" w:type="dxa"/>
            <w:vAlign w:val="bottom"/>
            <w:hideMark/>
          </w:tcPr>
          <w:p w14:paraId="6B93CE64" w14:textId="77777777" w:rsidR="00EA5BE0" w:rsidRPr="00EA5BE0" w:rsidRDefault="00EA5BE0" w:rsidP="002000CC">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Rationale</w:t>
            </w:r>
          </w:p>
        </w:tc>
      </w:tr>
      <w:tr w:rsidR="00EA5BE0" w:rsidRPr="00EA5BE0" w14:paraId="7F39F184" w14:textId="77777777" w:rsidTr="002000CC">
        <w:trPr>
          <w:trHeight w:val="120"/>
        </w:trPr>
        <w:tc>
          <w:tcPr>
            <w:cnfStyle w:val="001000000000" w:firstRow="0" w:lastRow="0" w:firstColumn="1" w:lastColumn="0" w:oddVBand="0" w:evenVBand="0" w:oddHBand="0" w:evenHBand="0" w:firstRowFirstColumn="0" w:firstRowLastColumn="0" w:lastRowFirstColumn="0" w:lastRowLastColumn="0"/>
            <w:tcW w:w="1710" w:type="dxa"/>
          </w:tcPr>
          <w:p w14:paraId="63358465" w14:textId="77777777" w:rsidR="00EA5BE0" w:rsidRPr="00EA5BE0" w:rsidRDefault="00EA5BE0" w:rsidP="002000CC">
            <w:pPr>
              <w:pStyle w:val="TableTextLeft"/>
            </w:pPr>
            <w:r w:rsidRPr="00EA5BE0">
              <w:t>A</w:t>
            </w:r>
          </w:p>
        </w:tc>
        <w:tc>
          <w:tcPr>
            <w:tcW w:w="2340" w:type="dxa"/>
          </w:tcPr>
          <w:p w14:paraId="1724F7A7" w14:textId="77777777" w:rsidR="00EA5BE0" w:rsidRPr="00EA5BE0" w:rsidRDefault="00EA5BE0" w:rsidP="002000CC">
            <w:pPr>
              <w:pStyle w:val="TableTextLeft"/>
              <w:cnfStyle w:val="000000000000" w:firstRow="0" w:lastRow="0" w:firstColumn="0" w:lastColumn="0" w:oddVBand="0" w:evenVBand="0" w:oddHBand="0" w:evenHBand="0" w:firstRowFirstColumn="0" w:firstRowLastColumn="0" w:lastRowFirstColumn="0" w:lastRowLastColumn="0"/>
            </w:pPr>
            <w:r w:rsidRPr="00EA5BE0">
              <w:t>High</w:t>
            </w:r>
          </w:p>
        </w:tc>
        <w:tc>
          <w:tcPr>
            <w:tcW w:w="8900" w:type="dxa"/>
          </w:tcPr>
          <w:p w14:paraId="003D76CC" w14:textId="77777777" w:rsidR="00EA5BE0" w:rsidRPr="00EA5BE0" w:rsidRDefault="00EA5BE0" w:rsidP="002000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4+  </w:t>
            </w:r>
          </w:p>
          <w:p w14:paraId="51031B44" w14:textId="77777777" w:rsidR="00EA5BE0" w:rsidRPr="00EA5BE0" w:rsidRDefault="00EA5BE0" w:rsidP="002000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We are very confident that the true effect lies close to that of the estimate of the effect.  </w:t>
            </w:r>
          </w:p>
        </w:tc>
      </w:tr>
      <w:tr w:rsidR="00EA5BE0" w:rsidRPr="00EA5BE0" w14:paraId="367AA1E5" w14:textId="77777777" w:rsidTr="00831A86">
        <w:trPr>
          <w:trHeight w:val="120"/>
        </w:trPr>
        <w:tc>
          <w:tcPr>
            <w:cnfStyle w:val="001000000000" w:firstRow="0" w:lastRow="0" w:firstColumn="1" w:lastColumn="0" w:oddVBand="0" w:evenVBand="0" w:oddHBand="0" w:evenHBand="0" w:firstRowFirstColumn="0" w:firstRowLastColumn="0" w:lastRowFirstColumn="0" w:lastRowLastColumn="0"/>
            <w:tcW w:w="1710" w:type="dxa"/>
            <w:tcBorders>
              <w:bottom w:val="single" w:sz="4" w:space="0" w:color="5B6771" w:themeColor="accent3"/>
            </w:tcBorders>
          </w:tcPr>
          <w:p w14:paraId="6CF3602B" w14:textId="77777777" w:rsidR="00EA5BE0" w:rsidRPr="00EA5BE0" w:rsidRDefault="00EA5BE0" w:rsidP="002000CC">
            <w:pPr>
              <w:pStyle w:val="TableTextLeft"/>
            </w:pPr>
            <w:r w:rsidRPr="00EA5BE0">
              <w:t>B</w:t>
            </w:r>
          </w:p>
        </w:tc>
        <w:tc>
          <w:tcPr>
            <w:tcW w:w="2340" w:type="dxa"/>
          </w:tcPr>
          <w:p w14:paraId="4FBD3E57" w14:textId="77777777" w:rsidR="00EA5BE0" w:rsidRPr="00EA5BE0" w:rsidRDefault="00EA5BE0" w:rsidP="002000CC">
            <w:pPr>
              <w:pStyle w:val="TableTextLeft"/>
              <w:cnfStyle w:val="000000000000" w:firstRow="0" w:lastRow="0" w:firstColumn="0" w:lastColumn="0" w:oddVBand="0" w:evenVBand="0" w:oddHBand="0" w:evenHBand="0" w:firstRowFirstColumn="0" w:firstRowLastColumn="0" w:lastRowFirstColumn="0" w:lastRowLastColumn="0"/>
            </w:pPr>
            <w:r w:rsidRPr="00EA5BE0">
              <w:t>Moderate</w:t>
            </w:r>
          </w:p>
        </w:tc>
        <w:tc>
          <w:tcPr>
            <w:tcW w:w="8900" w:type="dxa"/>
          </w:tcPr>
          <w:p w14:paraId="2A0D7F07" w14:textId="77777777" w:rsidR="00EA5BE0" w:rsidRPr="00EA5BE0" w:rsidRDefault="00EA5BE0" w:rsidP="002000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3+ </w:t>
            </w:r>
          </w:p>
          <w:p w14:paraId="62CEE6D7" w14:textId="77777777" w:rsidR="00EA5BE0" w:rsidRPr="00EA5BE0" w:rsidRDefault="00EA5BE0" w:rsidP="002000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We are moderately confident in the effect estimate: The true effect is likely to be close to the estimate of the effect, but there is a possibility that it is substantially different. </w:t>
            </w:r>
          </w:p>
        </w:tc>
      </w:tr>
      <w:tr w:rsidR="00831A86" w:rsidRPr="00EA5BE0" w14:paraId="5D368B9C" w14:textId="77777777" w:rsidTr="00831A86">
        <w:trPr>
          <w:trHeight w:val="120"/>
        </w:trPr>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5B6771" w:themeColor="accent3"/>
              <w:bottom w:val="nil"/>
            </w:tcBorders>
          </w:tcPr>
          <w:p w14:paraId="19A1953A" w14:textId="77777777" w:rsidR="00831A86" w:rsidRPr="00EA5BE0" w:rsidRDefault="00831A86" w:rsidP="002000CC">
            <w:pPr>
              <w:pStyle w:val="TableTextLeft"/>
            </w:pPr>
            <w:r w:rsidRPr="00EA5BE0">
              <w:t>C</w:t>
            </w:r>
          </w:p>
        </w:tc>
        <w:tc>
          <w:tcPr>
            <w:tcW w:w="2340" w:type="dxa"/>
          </w:tcPr>
          <w:p w14:paraId="66E68D09" w14:textId="77777777" w:rsidR="00831A86" w:rsidRPr="00EA5BE0" w:rsidRDefault="00831A86" w:rsidP="002000CC">
            <w:pPr>
              <w:pStyle w:val="TableTextLeft"/>
              <w:cnfStyle w:val="000000000000" w:firstRow="0" w:lastRow="0" w:firstColumn="0" w:lastColumn="0" w:oddVBand="0" w:evenVBand="0" w:oddHBand="0" w:evenHBand="0" w:firstRowFirstColumn="0" w:firstRowLastColumn="0" w:lastRowFirstColumn="0" w:lastRowLastColumn="0"/>
            </w:pPr>
            <w:r w:rsidRPr="00EA5BE0">
              <w:t>Low</w:t>
            </w:r>
          </w:p>
        </w:tc>
        <w:tc>
          <w:tcPr>
            <w:tcW w:w="8900" w:type="dxa"/>
          </w:tcPr>
          <w:p w14:paraId="35BD9099" w14:textId="77777777" w:rsidR="00831A86" w:rsidRPr="00EA5BE0" w:rsidRDefault="00831A86" w:rsidP="002000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2+ </w:t>
            </w:r>
          </w:p>
          <w:p w14:paraId="446120DD" w14:textId="77777777" w:rsidR="00831A86" w:rsidRPr="00EA5BE0" w:rsidRDefault="00831A86" w:rsidP="002000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Our confidence in the effect estimate is limited: The true effect may be substantially different from the estimate of the effect.  </w:t>
            </w:r>
          </w:p>
        </w:tc>
      </w:tr>
      <w:tr w:rsidR="00831A86" w:rsidRPr="00EA5BE0" w14:paraId="0BA8A542" w14:textId="77777777" w:rsidTr="00831A86">
        <w:trPr>
          <w:trHeight w:val="120"/>
        </w:trPr>
        <w:tc>
          <w:tcPr>
            <w:cnfStyle w:val="001000000000" w:firstRow="0" w:lastRow="0" w:firstColumn="1" w:lastColumn="0" w:oddVBand="0" w:evenVBand="0" w:oddHBand="0" w:evenHBand="0" w:firstRowFirstColumn="0" w:firstRowLastColumn="0" w:lastRowFirstColumn="0" w:lastRowLastColumn="0"/>
            <w:tcW w:w="1710" w:type="dxa"/>
            <w:tcBorders>
              <w:top w:val="nil"/>
              <w:bottom w:val="single" w:sz="4" w:space="0" w:color="046B5C" w:themeColor="text2"/>
            </w:tcBorders>
          </w:tcPr>
          <w:p w14:paraId="1096CAE6" w14:textId="77777777" w:rsidR="00831A86" w:rsidRPr="00EA5BE0" w:rsidRDefault="00831A86" w:rsidP="002000CC">
            <w:pPr>
              <w:pStyle w:val="TableTextLeft"/>
            </w:pPr>
          </w:p>
        </w:tc>
        <w:tc>
          <w:tcPr>
            <w:tcW w:w="2340" w:type="dxa"/>
          </w:tcPr>
          <w:p w14:paraId="03F28A43" w14:textId="77777777" w:rsidR="00831A86" w:rsidRPr="00EA5BE0" w:rsidRDefault="00831A86" w:rsidP="002000CC">
            <w:pPr>
              <w:pStyle w:val="TableTextLeft"/>
              <w:cnfStyle w:val="000000000000" w:firstRow="0" w:lastRow="0" w:firstColumn="0" w:lastColumn="0" w:oddVBand="0" w:evenVBand="0" w:oddHBand="0" w:evenHBand="0" w:firstRowFirstColumn="0" w:firstRowLastColumn="0" w:lastRowFirstColumn="0" w:lastRowLastColumn="0"/>
            </w:pPr>
            <w:r w:rsidRPr="00EA5BE0">
              <w:t>Very Low</w:t>
            </w:r>
          </w:p>
        </w:tc>
        <w:tc>
          <w:tcPr>
            <w:tcW w:w="8900" w:type="dxa"/>
          </w:tcPr>
          <w:p w14:paraId="0AAEE25E" w14:textId="77777777" w:rsidR="00831A86" w:rsidRPr="00EA5BE0" w:rsidRDefault="00831A86" w:rsidP="002000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1+ </w:t>
            </w:r>
          </w:p>
          <w:p w14:paraId="722EE233" w14:textId="77777777" w:rsidR="00831A86" w:rsidRPr="00EA5BE0" w:rsidRDefault="00831A86" w:rsidP="002000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We have very little confidence in the effect of the estimate: The true effect is likely to be substantially different from the estimate of the effect. </w:t>
            </w:r>
          </w:p>
        </w:tc>
      </w:tr>
    </w:tbl>
    <w:p w14:paraId="112599BF" w14:textId="77777777" w:rsidR="00EA5BE0" w:rsidRPr="007C52EE" w:rsidRDefault="00EA5BE0" w:rsidP="00BF659D">
      <w:pPr>
        <w:pStyle w:val="ParagraphContinued"/>
      </w:pPr>
      <w:r w:rsidRPr="007C52EE">
        <w:t>Additionally, the level of evidence also indicates the quality of the body of evidence used to inform the recommendations.</w:t>
      </w:r>
    </w:p>
    <w:p w14:paraId="05F8E93B" w14:textId="77777777" w:rsidR="00EB7E54" w:rsidRDefault="00EB7E54">
      <w:pPr>
        <w:spacing w:after="160" w:line="259" w:lineRule="auto"/>
        <w:rPr>
          <w:rFonts w:asciiTheme="majorHAnsi" w:hAnsiTheme="majorHAnsi"/>
          <w:b/>
          <w:bCs/>
          <w:color w:val="0B2949" w:themeColor="accent1"/>
          <w:sz w:val="22"/>
        </w:rPr>
      </w:pPr>
      <w:r>
        <w:rPr>
          <w:b/>
          <w:bCs/>
        </w:rPr>
        <w:br w:type="page"/>
      </w:r>
    </w:p>
    <w:p w14:paraId="7C63891B" w14:textId="29C50260" w:rsidR="00EA5BE0" w:rsidRPr="00EA5BE0" w:rsidRDefault="00EA5BE0" w:rsidP="007C52EE">
      <w:pPr>
        <w:pStyle w:val="TableTitle"/>
      </w:pPr>
      <w:r w:rsidRPr="00831A86">
        <w:rPr>
          <w:b/>
          <w:bCs/>
        </w:rPr>
        <w:lastRenderedPageBreak/>
        <w:t>Table 7</w:t>
      </w:r>
      <w:r w:rsidR="00831A86">
        <w:t>.</w:t>
      </w:r>
      <w:r w:rsidRPr="00EA5BE0">
        <w:t xml:space="preserve"> </w:t>
      </w:r>
      <w:r w:rsidR="00C36921">
        <w:t>ACCP/</w:t>
      </w:r>
      <w:r w:rsidRPr="00EA5BE0">
        <w:t>CHEST (2012) Level of Evidence Criteria (GRADE)</w:t>
      </w:r>
    </w:p>
    <w:tbl>
      <w:tblPr>
        <w:tblStyle w:val="BaseTable"/>
        <w:tblW w:w="12915" w:type="dxa"/>
        <w:tblLook w:val="04A0" w:firstRow="1" w:lastRow="0" w:firstColumn="1" w:lastColumn="0" w:noHBand="0" w:noVBand="1"/>
      </w:tblPr>
      <w:tblGrid>
        <w:gridCol w:w="2175"/>
        <w:gridCol w:w="3900"/>
        <w:gridCol w:w="3420"/>
        <w:gridCol w:w="3420"/>
      </w:tblGrid>
      <w:tr w:rsidR="00EA5BE0" w:rsidRPr="00EA5BE0" w14:paraId="50BE7B41" w14:textId="77777777" w:rsidTr="002303CC">
        <w:trPr>
          <w:cnfStyle w:val="100000000000" w:firstRow="1" w:lastRow="0" w:firstColumn="0" w:lastColumn="0" w:oddVBand="0" w:evenVBand="0" w:oddHBand="0" w:evenHBand="0" w:firstRowFirstColumn="0" w:firstRowLastColumn="0" w:lastRowFirstColumn="0" w:lastRowLastColumn="0"/>
          <w:trHeight w:val="120"/>
          <w:tblHeader/>
        </w:trPr>
        <w:tc>
          <w:tcPr>
            <w:tcW w:w="2175" w:type="dxa"/>
            <w:hideMark/>
          </w:tcPr>
          <w:p w14:paraId="7C697DEA" w14:textId="5E5DA7B0" w:rsidR="00EA5BE0" w:rsidRPr="00EA5BE0" w:rsidRDefault="00EB7E54" w:rsidP="00610CD1">
            <w:pPr>
              <w:pStyle w:val="TableHeaderLeft"/>
              <w:rPr>
                <w:rFonts w:ascii="Segoe UI" w:hAnsi="Segoe UI" w:cs="Segoe UI"/>
                <w:szCs w:val="18"/>
              </w:rPr>
            </w:pPr>
            <w:r w:rsidRPr="00EA5BE0">
              <w:t>Study Design</w:t>
            </w:r>
            <w:r w:rsidR="00EA5BE0" w:rsidRPr="00EA5BE0">
              <w:t> </w:t>
            </w:r>
          </w:p>
        </w:tc>
        <w:tc>
          <w:tcPr>
            <w:tcW w:w="3900" w:type="dxa"/>
            <w:hideMark/>
          </w:tcPr>
          <w:p w14:paraId="76106394" w14:textId="77777777" w:rsidR="00EA5BE0" w:rsidRPr="00EA5BE0" w:rsidRDefault="00EA5BE0" w:rsidP="00610CD1">
            <w:pPr>
              <w:pStyle w:val="TableHeaderCenter"/>
              <w:rPr>
                <w:rFonts w:ascii="Segoe UI" w:hAnsi="Segoe UI" w:cs="Segoe UI"/>
                <w:szCs w:val="18"/>
              </w:rPr>
            </w:pPr>
            <w:r w:rsidRPr="00EA5BE0">
              <w:t>Initial quality of a body of evidence </w:t>
            </w:r>
          </w:p>
        </w:tc>
        <w:tc>
          <w:tcPr>
            <w:tcW w:w="3420" w:type="dxa"/>
            <w:hideMark/>
          </w:tcPr>
          <w:p w14:paraId="6DC9226B" w14:textId="77777777" w:rsidR="00EA5BE0" w:rsidRPr="00EA5BE0" w:rsidRDefault="00EA5BE0" w:rsidP="00610CD1">
            <w:pPr>
              <w:pStyle w:val="TableHeaderCenter"/>
              <w:rPr>
                <w:rFonts w:ascii="Segoe UI" w:hAnsi="Segoe UI" w:cs="Segoe UI"/>
                <w:szCs w:val="18"/>
              </w:rPr>
            </w:pPr>
            <w:r w:rsidRPr="00EA5BE0">
              <w:t>Lower if </w:t>
            </w:r>
          </w:p>
        </w:tc>
        <w:tc>
          <w:tcPr>
            <w:tcW w:w="3420" w:type="dxa"/>
            <w:hideMark/>
          </w:tcPr>
          <w:p w14:paraId="583A543D" w14:textId="77777777" w:rsidR="00EA5BE0" w:rsidRPr="00EA5BE0" w:rsidRDefault="00EA5BE0" w:rsidP="00610CD1">
            <w:pPr>
              <w:pStyle w:val="TableHeaderCenter"/>
              <w:rPr>
                <w:rFonts w:ascii="Segoe UI" w:hAnsi="Segoe UI" w:cs="Segoe UI"/>
                <w:szCs w:val="18"/>
              </w:rPr>
            </w:pPr>
            <w:r w:rsidRPr="00EA5BE0">
              <w:t>Higher if </w:t>
            </w:r>
          </w:p>
        </w:tc>
      </w:tr>
      <w:tr w:rsidR="00610CD1" w:rsidRPr="00EA5BE0" w14:paraId="586954F3" w14:textId="77777777" w:rsidTr="002303CC">
        <w:trPr>
          <w:trHeight w:val="120"/>
        </w:trPr>
        <w:tc>
          <w:tcPr>
            <w:tcW w:w="2175" w:type="dxa"/>
            <w:tcBorders>
              <w:top w:val="single" w:sz="4" w:space="0" w:color="046B5C" w:themeColor="text2"/>
              <w:bottom w:val="single" w:sz="4" w:space="0" w:color="046B5C" w:themeColor="text2"/>
            </w:tcBorders>
          </w:tcPr>
          <w:p w14:paraId="4480E882" w14:textId="0EE8729B" w:rsidR="00610CD1" w:rsidRPr="00EA5BE0" w:rsidRDefault="00610CD1" w:rsidP="00610CD1">
            <w:pPr>
              <w:pStyle w:val="TableTextLeft"/>
            </w:pPr>
            <w:r w:rsidRPr="00EA5BE0">
              <w:t>Randomized Trials </w:t>
            </w:r>
          </w:p>
        </w:tc>
        <w:tc>
          <w:tcPr>
            <w:tcW w:w="3900" w:type="dxa"/>
            <w:tcBorders>
              <w:top w:val="single" w:sz="4" w:space="0" w:color="046B5C" w:themeColor="text2"/>
              <w:bottom w:val="single" w:sz="4" w:space="0" w:color="046B5C" w:themeColor="text2"/>
            </w:tcBorders>
          </w:tcPr>
          <w:p w14:paraId="2064A2FD" w14:textId="7920CDBE" w:rsidR="00610CD1" w:rsidRPr="00EA5BE0" w:rsidRDefault="00610CD1" w:rsidP="00610CD1">
            <w:pPr>
              <w:pStyle w:val="TableTextLeft"/>
            </w:pPr>
            <w:r w:rsidRPr="00EA5BE0">
              <w:t>High </w:t>
            </w:r>
          </w:p>
        </w:tc>
        <w:tc>
          <w:tcPr>
            <w:tcW w:w="3420" w:type="dxa"/>
            <w:tcBorders>
              <w:top w:val="single" w:sz="4" w:space="0" w:color="046B5C" w:themeColor="text2"/>
              <w:bottom w:val="nil"/>
            </w:tcBorders>
          </w:tcPr>
          <w:p w14:paraId="4FCD7CA1" w14:textId="43470045" w:rsidR="00610CD1" w:rsidRPr="00EA5BE0" w:rsidRDefault="00610CD1" w:rsidP="00610CD1">
            <w:pPr>
              <w:pStyle w:val="TableTextLeft"/>
            </w:pPr>
            <w:r w:rsidRPr="00EA5BE0">
              <w:t>Risk of bias </w:t>
            </w:r>
          </w:p>
        </w:tc>
        <w:tc>
          <w:tcPr>
            <w:tcW w:w="3420" w:type="dxa"/>
            <w:tcBorders>
              <w:top w:val="single" w:sz="4" w:space="0" w:color="046B5C" w:themeColor="text2"/>
              <w:bottom w:val="nil"/>
            </w:tcBorders>
          </w:tcPr>
          <w:p w14:paraId="19331996" w14:textId="25195F5A" w:rsidR="00610CD1" w:rsidRPr="00EA5BE0" w:rsidRDefault="00610CD1" w:rsidP="00610CD1">
            <w:pPr>
              <w:pStyle w:val="TableTextLeft"/>
            </w:pPr>
            <w:r w:rsidRPr="00EA5BE0">
              <w:t>Large effect </w:t>
            </w:r>
          </w:p>
        </w:tc>
      </w:tr>
      <w:tr w:rsidR="00610CD1" w:rsidRPr="00EA5BE0" w14:paraId="69052904" w14:textId="77777777" w:rsidTr="002303CC">
        <w:trPr>
          <w:trHeight w:val="120"/>
        </w:trPr>
        <w:tc>
          <w:tcPr>
            <w:tcW w:w="2175" w:type="dxa"/>
            <w:tcBorders>
              <w:top w:val="single" w:sz="4" w:space="0" w:color="046B5C" w:themeColor="text2"/>
              <w:bottom w:val="single" w:sz="4" w:space="0" w:color="046B5C" w:themeColor="text2"/>
            </w:tcBorders>
          </w:tcPr>
          <w:p w14:paraId="6FF672FD" w14:textId="33876601" w:rsidR="00610CD1" w:rsidRPr="00EA5BE0" w:rsidRDefault="00610CD1" w:rsidP="00610CD1">
            <w:pPr>
              <w:pStyle w:val="TableTextLeft"/>
            </w:pPr>
            <w:r w:rsidRPr="00EA5BE0">
              <w:t>Observational Studies </w:t>
            </w:r>
          </w:p>
        </w:tc>
        <w:tc>
          <w:tcPr>
            <w:tcW w:w="3900" w:type="dxa"/>
            <w:tcBorders>
              <w:top w:val="single" w:sz="4" w:space="0" w:color="046B5C" w:themeColor="text2"/>
              <w:bottom w:val="single" w:sz="4" w:space="0" w:color="046B5C" w:themeColor="text2"/>
            </w:tcBorders>
          </w:tcPr>
          <w:p w14:paraId="5CA64726" w14:textId="6C60FE8A" w:rsidR="00610CD1" w:rsidRPr="00EA5BE0" w:rsidRDefault="00610CD1" w:rsidP="00610CD1">
            <w:pPr>
              <w:pStyle w:val="TableTextLeft"/>
            </w:pPr>
            <w:r w:rsidRPr="00EA5BE0">
              <w:t>Low </w:t>
            </w:r>
          </w:p>
        </w:tc>
        <w:tc>
          <w:tcPr>
            <w:tcW w:w="3420" w:type="dxa"/>
            <w:tcBorders>
              <w:top w:val="nil"/>
              <w:bottom w:val="single" w:sz="4" w:space="0" w:color="046B5C" w:themeColor="text2"/>
            </w:tcBorders>
          </w:tcPr>
          <w:p w14:paraId="07361D16" w14:textId="77777777" w:rsidR="00610CD1" w:rsidRPr="00EA5BE0" w:rsidRDefault="00610CD1" w:rsidP="00610CD1">
            <w:pPr>
              <w:pStyle w:val="TableTextIndent"/>
              <w:rPr>
                <w:rFonts w:ascii="Segoe UI" w:hAnsi="Segoe UI" w:cs="Segoe UI"/>
                <w:szCs w:val="18"/>
              </w:rPr>
            </w:pPr>
            <w:r w:rsidRPr="00EA5BE0">
              <w:t>-1 serious </w:t>
            </w:r>
          </w:p>
          <w:p w14:paraId="42067789" w14:textId="77777777" w:rsidR="00610CD1" w:rsidRPr="00EA5BE0" w:rsidRDefault="00610CD1" w:rsidP="00610CD1">
            <w:pPr>
              <w:pStyle w:val="TableTextIndent"/>
              <w:rPr>
                <w:rFonts w:ascii="Segoe UI" w:hAnsi="Segoe UI" w:cs="Segoe UI"/>
                <w:szCs w:val="18"/>
              </w:rPr>
            </w:pPr>
            <w:r w:rsidRPr="00EA5BE0">
              <w:t>-2 very serious </w:t>
            </w:r>
          </w:p>
          <w:p w14:paraId="0D24927F" w14:textId="77777777" w:rsidR="00610CD1" w:rsidRPr="00EA5BE0" w:rsidRDefault="00610CD1" w:rsidP="00610CD1">
            <w:pPr>
              <w:pStyle w:val="TableTextLeft"/>
              <w:rPr>
                <w:rFonts w:ascii="Segoe UI" w:hAnsi="Segoe UI" w:cs="Segoe UI"/>
                <w:szCs w:val="18"/>
              </w:rPr>
            </w:pPr>
            <w:r w:rsidRPr="00EA5BE0">
              <w:t>Inconsistency </w:t>
            </w:r>
          </w:p>
          <w:p w14:paraId="4F14CFCD" w14:textId="77777777" w:rsidR="00610CD1" w:rsidRPr="00EA5BE0" w:rsidRDefault="00610CD1" w:rsidP="002303CC">
            <w:pPr>
              <w:pStyle w:val="TableTextIndent"/>
              <w:rPr>
                <w:rFonts w:ascii="Segoe UI" w:hAnsi="Segoe UI" w:cs="Segoe UI"/>
                <w:szCs w:val="18"/>
              </w:rPr>
            </w:pPr>
            <w:r w:rsidRPr="00EA5BE0">
              <w:t>-1 serious </w:t>
            </w:r>
          </w:p>
          <w:p w14:paraId="6C74D81E" w14:textId="77777777" w:rsidR="00610CD1" w:rsidRPr="00EA5BE0" w:rsidRDefault="00610CD1" w:rsidP="002303CC">
            <w:pPr>
              <w:pStyle w:val="TableTextIndent"/>
              <w:rPr>
                <w:rFonts w:ascii="Segoe UI" w:hAnsi="Segoe UI" w:cs="Segoe UI"/>
                <w:szCs w:val="18"/>
              </w:rPr>
            </w:pPr>
            <w:r w:rsidRPr="00EA5BE0">
              <w:t>-2 very serious </w:t>
            </w:r>
          </w:p>
          <w:p w14:paraId="5993DF46" w14:textId="77777777" w:rsidR="00610CD1" w:rsidRPr="00EA5BE0" w:rsidRDefault="00610CD1" w:rsidP="00610CD1">
            <w:pPr>
              <w:pStyle w:val="TableTextLeft"/>
              <w:rPr>
                <w:rFonts w:ascii="Segoe UI" w:hAnsi="Segoe UI" w:cs="Segoe UI"/>
                <w:szCs w:val="18"/>
              </w:rPr>
            </w:pPr>
            <w:r w:rsidRPr="00EA5BE0">
              <w:t>Indirectness </w:t>
            </w:r>
          </w:p>
          <w:p w14:paraId="18E95B52" w14:textId="77777777" w:rsidR="00610CD1" w:rsidRPr="00EA5BE0" w:rsidRDefault="00610CD1" w:rsidP="002303CC">
            <w:pPr>
              <w:pStyle w:val="TableTextIndent"/>
              <w:rPr>
                <w:rFonts w:ascii="Segoe UI" w:hAnsi="Segoe UI" w:cs="Segoe UI"/>
                <w:szCs w:val="18"/>
              </w:rPr>
            </w:pPr>
            <w:r w:rsidRPr="00EA5BE0">
              <w:t>-1 serious </w:t>
            </w:r>
          </w:p>
          <w:p w14:paraId="4B6118ED" w14:textId="77777777" w:rsidR="00610CD1" w:rsidRPr="00EA5BE0" w:rsidRDefault="00610CD1" w:rsidP="002303CC">
            <w:pPr>
              <w:pStyle w:val="TableTextIndent"/>
              <w:rPr>
                <w:rFonts w:ascii="Segoe UI" w:hAnsi="Segoe UI" w:cs="Segoe UI"/>
                <w:szCs w:val="18"/>
              </w:rPr>
            </w:pPr>
            <w:r w:rsidRPr="00EA5BE0">
              <w:t>-2 very serious </w:t>
            </w:r>
          </w:p>
          <w:p w14:paraId="67062884" w14:textId="77777777" w:rsidR="00610CD1" w:rsidRPr="00EA5BE0" w:rsidRDefault="00610CD1" w:rsidP="00610CD1">
            <w:pPr>
              <w:pStyle w:val="TableTextLeft"/>
              <w:rPr>
                <w:rFonts w:ascii="Segoe UI" w:hAnsi="Segoe UI" w:cs="Segoe UI"/>
                <w:szCs w:val="18"/>
              </w:rPr>
            </w:pPr>
            <w:r w:rsidRPr="00EA5BE0">
              <w:t>Imprecision </w:t>
            </w:r>
          </w:p>
          <w:p w14:paraId="724D49C9" w14:textId="77777777" w:rsidR="00610CD1" w:rsidRPr="00EA5BE0" w:rsidRDefault="00610CD1" w:rsidP="002303CC">
            <w:pPr>
              <w:pStyle w:val="TableTextIndent"/>
              <w:rPr>
                <w:rFonts w:ascii="Segoe UI" w:hAnsi="Segoe UI" w:cs="Segoe UI"/>
                <w:szCs w:val="18"/>
              </w:rPr>
            </w:pPr>
            <w:r w:rsidRPr="00EA5BE0">
              <w:t>-1 serious </w:t>
            </w:r>
          </w:p>
          <w:p w14:paraId="1A148B33" w14:textId="77777777" w:rsidR="00610CD1" w:rsidRPr="00EA5BE0" w:rsidRDefault="00610CD1" w:rsidP="002303CC">
            <w:pPr>
              <w:pStyle w:val="TableTextIndent"/>
              <w:rPr>
                <w:rFonts w:ascii="Segoe UI" w:hAnsi="Segoe UI" w:cs="Segoe UI"/>
                <w:szCs w:val="18"/>
              </w:rPr>
            </w:pPr>
            <w:r w:rsidRPr="00EA5BE0">
              <w:t>-2 very serious </w:t>
            </w:r>
          </w:p>
          <w:p w14:paraId="212CDBA7" w14:textId="77777777" w:rsidR="00610CD1" w:rsidRPr="00EA5BE0" w:rsidRDefault="00610CD1" w:rsidP="00610CD1">
            <w:pPr>
              <w:pStyle w:val="TableTextLeft"/>
              <w:rPr>
                <w:rFonts w:ascii="Segoe UI" w:hAnsi="Segoe UI" w:cs="Segoe UI"/>
                <w:szCs w:val="18"/>
              </w:rPr>
            </w:pPr>
            <w:r w:rsidRPr="00EA5BE0">
              <w:t>Publication bias </w:t>
            </w:r>
          </w:p>
          <w:p w14:paraId="50F34B04" w14:textId="77777777" w:rsidR="00610CD1" w:rsidRPr="00610CD1" w:rsidRDefault="00610CD1" w:rsidP="002303CC">
            <w:pPr>
              <w:pStyle w:val="TableTextIndent"/>
            </w:pPr>
            <w:r w:rsidRPr="00EA5BE0">
              <w:t>-1 likel</w:t>
            </w:r>
            <w:r w:rsidRPr="00610CD1">
              <w:t>y </w:t>
            </w:r>
          </w:p>
          <w:p w14:paraId="720464BA" w14:textId="2091BEE2" w:rsidR="00610CD1" w:rsidRPr="00EA5BE0" w:rsidRDefault="00610CD1" w:rsidP="002303CC">
            <w:pPr>
              <w:pStyle w:val="TableTextIndent"/>
            </w:pPr>
            <w:r w:rsidRPr="00610CD1">
              <w:t>-2 very</w:t>
            </w:r>
            <w:r w:rsidRPr="00EA5BE0">
              <w:t xml:space="preserve"> likely </w:t>
            </w:r>
          </w:p>
        </w:tc>
        <w:tc>
          <w:tcPr>
            <w:tcW w:w="3420" w:type="dxa"/>
            <w:tcBorders>
              <w:top w:val="nil"/>
              <w:bottom w:val="single" w:sz="4" w:space="0" w:color="046B5C" w:themeColor="text2"/>
            </w:tcBorders>
          </w:tcPr>
          <w:p w14:paraId="282AABEC" w14:textId="77777777" w:rsidR="00610CD1" w:rsidRPr="00EA5BE0" w:rsidRDefault="00610CD1" w:rsidP="002303CC">
            <w:pPr>
              <w:pStyle w:val="TableTextIndent"/>
              <w:rPr>
                <w:rFonts w:ascii="Segoe UI" w:hAnsi="Segoe UI" w:cs="Segoe UI"/>
                <w:szCs w:val="18"/>
              </w:rPr>
            </w:pPr>
            <w:r w:rsidRPr="00EA5BE0">
              <w:t>+1 large </w:t>
            </w:r>
          </w:p>
          <w:p w14:paraId="081236E2" w14:textId="77777777" w:rsidR="00610CD1" w:rsidRPr="00EA5BE0" w:rsidRDefault="00610CD1" w:rsidP="002303CC">
            <w:pPr>
              <w:pStyle w:val="TableTextIndent"/>
              <w:rPr>
                <w:rFonts w:ascii="Segoe UI" w:hAnsi="Segoe UI" w:cs="Segoe UI"/>
                <w:szCs w:val="18"/>
              </w:rPr>
            </w:pPr>
            <w:r w:rsidRPr="00EA5BE0">
              <w:t>+2 very large </w:t>
            </w:r>
          </w:p>
          <w:p w14:paraId="3DD02DC8" w14:textId="77777777" w:rsidR="00610CD1" w:rsidRPr="00EA5BE0" w:rsidRDefault="00610CD1" w:rsidP="00610CD1">
            <w:pPr>
              <w:pStyle w:val="TableTextLeft"/>
              <w:rPr>
                <w:rFonts w:ascii="Segoe UI" w:hAnsi="Segoe UI" w:cs="Segoe UI"/>
                <w:szCs w:val="18"/>
              </w:rPr>
            </w:pPr>
            <w:r w:rsidRPr="00EA5BE0">
              <w:t>Dose response </w:t>
            </w:r>
          </w:p>
          <w:p w14:paraId="7679158A" w14:textId="77777777" w:rsidR="00610CD1" w:rsidRPr="00EA5BE0" w:rsidRDefault="00610CD1" w:rsidP="002303CC">
            <w:pPr>
              <w:pStyle w:val="TableTextIndent"/>
              <w:rPr>
                <w:rFonts w:ascii="Segoe UI" w:hAnsi="Segoe UI" w:cs="Segoe UI"/>
                <w:szCs w:val="18"/>
              </w:rPr>
            </w:pPr>
            <w:r w:rsidRPr="00EA5BE0">
              <w:t>+1 Evidence of a gradient </w:t>
            </w:r>
          </w:p>
          <w:p w14:paraId="1E3C3EB4" w14:textId="77777777" w:rsidR="00610CD1" w:rsidRPr="00EA5BE0" w:rsidRDefault="00610CD1" w:rsidP="00610CD1">
            <w:pPr>
              <w:pStyle w:val="TableTextLeft"/>
              <w:rPr>
                <w:rFonts w:ascii="Segoe UI" w:hAnsi="Segoe UI" w:cs="Segoe UI"/>
                <w:szCs w:val="18"/>
              </w:rPr>
            </w:pPr>
            <w:r w:rsidRPr="00EA5BE0">
              <w:t>All plausible residual confounding </w:t>
            </w:r>
          </w:p>
          <w:p w14:paraId="083E44B4" w14:textId="77777777" w:rsidR="00610CD1" w:rsidRPr="00EA5BE0" w:rsidRDefault="00610CD1" w:rsidP="002303CC">
            <w:pPr>
              <w:pStyle w:val="TableTextIndent"/>
              <w:rPr>
                <w:rFonts w:ascii="Segoe UI" w:hAnsi="Segoe UI" w:cs="Segoe UI"/>
                <w:szCs w:val="18"/>
              </w:rPr>
            </w:pPr>
            <w:r w:rsidRPr="00EA5BE0">
              <w:t xml:space="preserve">+1 would reduce </w:t>
            </w:r>
            <w:proofErr w:type="gramStart"/>
            <w:r w:rsidRPr="00EA5BE0">
              <w:t>a demonstrated</w:t>
            </w:r>
            <w:proofErr w:type="gramEnd"/>
            <w:r w:rsidRPr="00EA5BE0">
              <w:t xml:space="preserve"> effect </w:t>
            </w:r>
          </w:p>
          <w:p w14:paraId="2D99314D" w14:textId="57DE618A" w:rsidR="00610CD1" w:rsidRPr="00EA5BE0" w:rsidRDefault="00610CD1" w:rsidP="002303CC">
            <w:pPr>
              <w:pStyle w:val="TableTextIndent"/>
            </w:pPr>
            <w:r w:rsidRPr="00EA5BE0">
              <w:t>+1 would suggest a spurious effect if no effect was observed </w:t>
            </w:r>
          </w:p>
        </w:tc>
      </w:tr>
    </w:tbl>
    <w:p w14:paraId="6D5C3BFC" w14:textId="5BCF4260" w:rsidR="00EA5BE0" w:rsidRPr="00EA5BE0" w:rsidRDefault="00EA5BE0" w:rsidP="002A7217">
      <w:pPr>
        <w:pStyle w:val="TableTitle"/>
        <w:rPr>
          <w:rFonts w:ascii="Calibri" w:eastAsia="Calibri" w:hAnsi="Calibri" w:cs="Calibri"/>
          <w:sz w:val="12"/>
          <w:szCs w:val="8"/>
        </w:rPr>
      </w:pPr>
      <w:r w:rsidRPr="002A7217">
        <w:rPr>
          <w:b/>
          <w:bCs/>
        </w:rPr>
        <w:t>Table 8</w:t>
      </w:r>
      <w:r w:rsidR="002A7217" w:rsidRPr="002A7217">
        <w:rPr>
          <w:b/>
          <w:bCs/>
        </w:rPr>
        <w:t>.</w:t>
      </w:r>
      <w:r w:rsidRPr="00EA5BE0">
        <w:t xml:space="preserve"> </w:t>
      </w:r>
      <w:r w:rsidR="00C36921">
        <w:t>ACCP/</w:t>
      </w:r>
      <w:r w:rsidRPr="00EA5BE0">
        <w:t>CHEST (2012)</w:t>
      </w:r>
      <w:r w:rsidR="00E55A62">
        <w:t xml:space="preserve"> </w:t>
      </w:r>
      <w:r w:rsidR="00985C8F">
        <w:t>Orthopedic Surgical</w:t>
      </w:r>
      <w:r w:rsidRPr="00EA5BE0">
        <w:t xml:space="preserve"> Guidelines that Support the Measure</w:t>
      </w:r>
    </w:p>
    <w:tbl>
      <w:tblPr>
        <w:tblStyle w:val="AlternateTable"/>
        <w:tblW w:w="5000" w:type="pct"/>
        <w:tblLook w:val="04A0" w:firstRow="1" w:lastRow="0" w:firstColumn="1" w:lastColumn="0" w:noHBand="0" w:noVBand="1"/>
      </w:tblPr>
      <w:tblGrid>
        <w:gridCol w:w="9847"/>
        <w:gridCol w:w="1620"/>
        <w:gridCol w:w="1493"/>
      </w:tblGrid>
      <w:tr w:rsidR="00EA5BE0" w:rsidRPr="00EA5BE0" w14:paraId="25DE2CF0" w14:textId="77777777" w:rsidTr="00EB7E54">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10260" w:type="dxa"/>
            <w:vAlign w:val="bottom"/>
            <w:hideMark/>
          </w:tcPr>
          <w:p w14:paraId="06762A83" w14:textId="77777777" w:rsidR="00EA5BE0" w:rsidRPr="00EA5BE0" w:rsidRDefault="00EA5BE0" w:rsidP="00DF7DAF">
            <w:pPr>
              <w:pStyle w:val="TableHeaderLeft"/>
              <w:rPr>
                <w:b w:val="0"/>
              </w:rPr>
            </w:pPr>
            <w:r w:rsidRPr="00EA5BE0">
              <w:t>Verbatim Guideline</w:t>
            </w:r>
          </w:p>
        </w:tc>
        <w:tc>
          <w:tcPr>
            <w:tcW w:w="1620" w:type="dxa"/>
            <w:vAlign w:val="bottom"/>
            <w:hideMark/>
          </w:tcPr>
          <w:p w14:paraId="7E498FB8" w14:textId="77777777" w:rsidR="00EA5BE0" w:rsidRPr="00EA5BE0" w:rsidRDefault="00EA5BE0" w:rsidP="00DF7DAF">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525" w:type="dxa"/>
            <w:vAlign w:val="bottom"/>
            <w:hideMark/>
          </w:tcPr>
          <w:p w14:paraId="671B8585" w14:textId="77777777" w:rsidR="00EA5BE0" w:rsidRPr="00EA5BE0" w:rsidRDefault="00EA5BE0" w:rsidP="00DF7DAF">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C60721" w:rsidRPr="00EA5BE0" w14:paraId="2102DF90"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244B1D2C" w14:textId="04A78FE4" w:rsidR="00C60721" w:rsidRPr="00EA5BE0" w:rsidRDefault="00C60721" w:rsidP="00DF7DAF">
            <w:pPr>
              <w:pStyle w:val="TableRowHead"/>
            </w:pPr>
            <w:r w:rsidRPr="007C52EE">
              <w:t xml:space="preserve">Guidelines focused on Patients Undergoing Major Orthopedic Surgery: </w:t>
            </w:r>
            <w:r w:rsidRPr="006340CA">
              <w:t>total hip arthroplasty, total knee arthroplasty, hip fracture surgery</w:t>
            </w:r>
          </w:p>
        </w:tc>
        <w:tc>
          <w:tcPr>
            <w:tcW w:w="1620" w:type="dxa"/>
            <w:shd w:val="clear" w:color="auto" w:fill="0B2949" w:themeFill="accent1"/>
            <w:noWrap/>
          </w:tcPr>
          <w:p w14:paraId="70AADF66" w14:textId="77777777" w:rsidR="00C60721" w:rsidRPr="00EA5BE0" w:rsidRDefault="00C60721" w:rsidP="00DF7DAF">
            <w:pPr>
              <w:pStyle w:val="TableRowHead"/>
              <w:cnfStyle w:val="000000000000" w:firstRow="0" w:lastRow="0" w:firstColumn="0" w:lastColumn="0" w:oddVBand="0" w:evenVBand="0" w:oddHBand="0" w:evenHBand="0" w:firstRowFirstColumn="0" w:firstRowLastColumn="0" w:lastRowFirstColumn="0" w:lastRowLastColumn="0"/>
            </w:pPr>
          </w:p>
        </w:tc>
        <w:tc>
          <w:tcPr>
            <w:tcW w:w="1525" w:type="dxa"/>
            <w:shd w:val="clear" w:color="auto" w:fill="0B2949" w:themeFill="accent1"/>
          </w:tcPr>
          <w:p w14:paraId="664931A8" w14:textId="77777777" w:rsidR="00C60721" w:rsidRPr="00EA5BE0" w:rsidRDefault="00C60721" w:rsidP="00DF7DAF">
            <w:pPr>
              <w:pStyle w:val="TableRowHead"/>
              <w:cnfStyle w:val="000000000000" w:firstRow="0" w:lastRow="0" w:firstColumn="0" w:lastColumn="0" w:oddVBand="0" w:evenVBand="0" w:oddHBand="0" w:evenHBand="0" w:firstRowFirstColumn="0" w:firstRowLastColumn="0" w:lastRowFirstColumn="0" w:lastRowLastColumn="0"/>
            </w:pPr>
          </w:p>
        </w:tc>
      </w:tr>
      <w:tr w:rsidR="00EA5BE0" w:rsidRPr="00EA5BE0" w14:paraId="6315E976"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35A409C5" w14:textId="689644B1" w:rsidR="00EA5BE0" w:rsidRPr="00EA5BE0" w:rsidRDefault="00EA5BE0" w:rsidP="00F07799">
            <w:pPr>
              <w:pStyle w:val="TableTextLeft"/>
            </w:pPr>
            <w:r w:rsidRPr="00EA5BE0">
              <w:t xml:space="preserve">2.1.1 In patients undergoing total hip arthroplasty (THA) or total knee arthroplasty (TKA), we recommend use of one of the following for a minimum of 10 to 14 days rather than no antithrombotic prophylaxis: </w:t>
            </w:r>
            <w:r w:rsidR="008B20CE">
              <w:t xml:space="preserve"> </w:t>
            </w:r>
          </w:p>
        </w:tc>
        <w:tc>
          <w:tcPr>
            <w:tcW w:w="1620" w:type="dxa"/>
            <w:noWrap/>
            <w:hideMark/>
          </w:tcPr>
          <w:p w14:paraId="71179E55" w14:textId="77777777" w:rsidR="00EA5BE0" w:rsidRPr="00EA5BE0" w:rsidRDefault="00EA5BE0" w:rsidP="002850A3">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525" w:type="dxa"/>
          </w:tcPr>
          <w:p w14:paraId="322225EE" w14:textId="77777777" w:rsidR="00EA5BE0" w:rsidRPr="00EA5BE0" w:rsidRDefault="00EA5BE0"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CA08D5" w:rsidRPr="00EA5BE0" w14:paraId="6A3B0F9E"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6BBE01B4" w14:textId="50464EC7" w:rsidR="00CA08D5" w:rsidRPr="00EA5BE0" w:rsidRDefault="00CA08D5" w:rsidP="00CA08D5">
            <w:pPr>
              <w:pStyle w:val="TableListBullet"/>
            </w:pPr>
            <w:r w:rsidRPr="00EA5BE0">
              <w:t xml:space="preserve">LMWH, fondaparinux, apixaban, dabigatran, rivaroxaban, LDUH, adjusted-dose vitamin K antagonist (VKA), aspirin, or </w:t>
            </w:r>
          </w:p>
        </w:tc>
        <w:tc>
          <w:tcPr>
            <w:tcW w:w="1620" w:type="dxa"/>
            <w:noWrap/>
          </w:tcPr>
          <w:p w14:paraId="73543FA9" w14:textId="64F8D97B" w:rsidR="00CA08D5" w:rsidRPr="00EA5BE0" w:rsidRDefault="00CA08D5" w:rsidP="002850A3">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525" w:type="dxa"/>
          </w:tcPr>
          <w:p w14:paraId="021B3E8B" w14:textId="39BC3E7E" w:rsidR="00CA08D5" w:rsidRPr="00EA5BE0" w:rsidRDefault="00CA08D5"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EA5BE0" w:rsidRPr="00EA5BE0" w14:paraId="4BCEA142"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5AAA3114" w14:textId="20CABB8C" w:rsidR="00EA5BE0" w:rsidRPr="00EA5BE0" w:rsidRDefault="00EA5BE0" w:rsidP="00F07799">
            <w:pPr>
              <w:pStyle w:val="TableListBullet"/>
            </w:pPr>
            <w:r w:rsidRPr="00EA5BE0">
              <w:t>an intermittent pneumatic compression device (IPCD)</w:t>
            </w:r>
            <w:r w:rsidR="00BA61B8">
              <w:t>.</w:t>
            </w:r>
          </w:p>
        </w:tc>
        <w:tc>
          <w:tcPr>
            <w:tcW w:w="1620" w:type="dxa"/>
            <w:noWrap/>
          </w:tcPr>
          <w:p w14:paraId="4E29A49B" w14:textId="77777777" w:rsidR="00EA5BE0" w:rsidRPr="00EA5BE0" w:rsidRDefault="00EA5BE0" w:rsidP="002850A3">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525" w:type="dxa"/>
          </w:tcPr>
          <w:p w14:paraId="2E9CAE11" w14:textId="77777777" w:rsidR="00EA5BE0" w:rsidRPr="00EA5BE0" w:rsidDel="13D3B5C3" w:rsidRDefault="00EA5BE0" w:rsidP="002850A3">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20E3A029"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0678F45D" w14:textId="73AB594C" w:rsidR="00EA5BE0" w:rsidRPr="00EA5BE0" w:rsidRDefault="00EA5BE0" w:rsidP="00F07799">
            <w:pPr>
              <w:pStyle w:val="TableTextLeft"/>
            </w:pPr>
            <w:r w:rsidRPr="00EA5BE0">
              <w:t xml:space="preserve">2.1.2 In patients undergoing hip fracture surgery (HFS), we recommend use of one of the following rather than no antithrombotic prophylaxis for a minimum of 10 to 14 days: </w:t>
            </w:r>
          </w:p>
        </w:tc>
        <w:tc>
          <w:tcPr>
            <w:tcW w:w="1620" w:type="dxa"/>
            <w:noWrap/>
            <w:hideMark/>
          </w:tcPr>
          <w:p w14:paraId="694355DF" w14:textId="77777777" w:rsidR="00EA5BE0" w:rsidRPr="00EA5BE0" w:rsidRDefault="00EA5BE0" w:rsidP="002850A3">
            <w:pPr>
              <w:pStyle w:val="TableTextLeft"/>
              <w:cnfStyle w:val="000000000000" w:firstRow="0" w:lastRow="0" w:firstColumn="0" w:lastColumn="0" w:oddVBand="0" w:evenVBand="0" w:oddHBand="0" w:evenHBand="0" w:firstRowFirstColumn="0" w:firstRowLastColumn="0" w:lastRowFirstColumn="0" w:lastRowLastColumn="0"/>
            </w:pPr>
            <w:r w:rsidRPr="00EA5BE0">
              <w:t xml:space="preserve">1 </w:t>
            </w:r>
          </w:p>
        </w:tc>
        <w:tc>
          <w:tcPr>
            <w:tcW w:w="1525" w:type="dxa"/>
            <w:hideMark/>
          </w:tcPr>
          <w:p w14:paraId="57422DCB" w14:textId="77777777" w:rsidR="00EA5BE0" w:rsidRPr="00EA5BE0" w:rsidRDefault="00EA5BE0"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F07799" w:rsidRPr="00EA5BE0" w14:paraId="29005217"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44A6BC61" w14:textId="4A7F1ABE" w:rsidR="00F07799" w:rsidRPr="00EA5BE0" w:rsidRDefault="00F07799" w:rsidP="00F07799">
            <w:pPr>
              <w:pStyle w:val="TableListBullet"/>
            </w:pPr>
            <w:r w:rsidRPr="00EA5BE0">
              <w:t xml:space="preserve">LMWH, fondaparinux, LDUH, adjusted-dose VKA, aspirin, or </w:t>
            </w:r>
          </w:p>
        </w:tc>
        <w:tc>
          <w:tcPr>
            <w:tcW w:w="1620" w:type="dxa"/>
            <w:noWrap/>
          </w:tcPr>
          <w:p w14:paraId="4B95A3C3" w14:textId="489AFF3F"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 xml:space="preserve">1 </w:t>
            </w:r>
          </w:p>
        </w:tc>
        <w:tc>
          <w:tcPr>
            <w:tcW w:w="1525" w:type="dxa"/>
          </w:tcPr>
          <w:p w14:paraId="46B85777" w14:textId="7D3EF78A"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F07799" w:rsidRPr="00EA5BE0" w14:paraId="47E8CBE9"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57840F72" w14:textId="53859909" w:rsidR="00F07799" w:rsidRPr="00EA5BE0" w:rsidRDefault="00F07799" w:rsidP="00F07799">
            <w:pPr>
              <w:pStyle w:val="TableListBullet"/>
            </w:pPr>
            <w:r w:rsidRPr="00EA5BE0">
              <w:t>an IPCD.</w:t>
            </w:r>
          </w:p>
        </w:tc>
        <w:tc>
          <w:tcPr>
            <w:tcW w:w="1620" w:type="dxa"/>
            <w:noWrap/>
          </w:tcPr>
          <w:p w14:paraId="00517E5B"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525" w:type="dxa"/>
          </w:tcPr>
          <w:p w14:paraId="516918CA" w14:textId="77777777" w:rsidR="00F07799" w:rsidRPr="00EA5BE0" w:rsidDel="13D3B5C3"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F07799" w:rsidRPr="00EA5BE0" w14:paraId="70011171"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48E3794B" w14:textId="6896C353" w:rsidR="00F07799" w:rsidRPr="00EA5BE0" w:rsidRDefault="00F07799" w:rsidP="00F07799">
            <w:pPr>
              <w:pStyle w:val="TableTextLeft"/>
            </w:pPr>
            <w:r w:rsidRPr="00EA5BE0">
              <w:lastRenderedPageBreak/>
              <w:t>2.2 For patients undergoing major orthopedic surgery (THA, TKA, HFS) and receiving LMWH as thromboprophylaxis, we recommend starting either 12 h or more preoperatively or 12 h or more postoperatively rather than within 4 h or less preoperatively or 4 h or less postoperatively</w:t>
            </w:r>
            <w:r>
              <w:t>.</w:t>
            </w:r>
          </w:p>
        </w:tc>
        <w:tc>
          <w:tcPr>
            <w:tcW w:w="1620" w:type="dxa"/>
            <w:noWrap/>
            <w:hideMark/>
          </w:tcPr>
          <w:p w14:paraId="59B10F4E"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 xml:space="preserve">1 </w:t>
            </w:r>
          </w:p>
        </w:tc>
        <w:tc>
          <w:tcPr>
            <w:tcW w:w="1525" w:type="dxa"/>
            <w:hideMark/>
          </w:tcPr>
          <w:p w14:paraId="78A5141A"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F07799" w:rsidRPr="00EA5BE0" w14:paraId="3222A6CC"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740720BF" w14:textId="6DD06925" w:rsidR="00F07799" w:rsidRPr="00EA5BE0" w:rsidRDefault="00F07799" w:rsidP="00F07799">
            <w:pPr>
              <w:pStyle w:val="TableTextLeft"/>
            </w:pPr>
            <w:r w:rsidRPr="00EA5BE0">
              <w:t xml:space="preserve">2.3.1 In patients undergoing THA or TKA, irrespective of the concomitant use of an IPCD or length of treatment, we suggest the use of LMWH in preference to the other agents we have recommended as alternatives: </w:t>
            </w:r>
            <w:r>
              <w:t xml:space="preserve"> </w:t>
            </w:r>
            <w:r w:rsidRPr="00EA5BE0">
              <w:t xml:space="preserve"> </w:t>
            </w:r>
          </w:p>
        </w:tc>
        <w:tc>
          <w:tcPr>
            <w:tcW w:w="1620" w:type="dxa"/>
            <w:noWrap/>
            <w:hideMark/>
          </w:tcPr>
          <w:p w14:paraId="5080339A"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525" w:type="dxa"/>
          </w:tcPr>
          <w:p w14:paraId="61486A4B"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F07799" w:rsidRPr="00EA5BE0" w14:paraId="6520BA5D"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3F1AE7DA" w14:textId="0465A9A2" w:rsidR="00F07799" w:rsidRPr="00EA5BE0" w:rsidRDefault="00F07799" w:rsidP="00F07799">
            <w:pPr>
              <w:pStyle w:val="TableListBullet"/>
            </w:pPr>
            <w:r w:rsidRPr="00EA5BE0">
              <w:t>fondaparinux, apixaban, dabigatran, rivaroxaban, LDUH,</w:t>
            </w:r>
          </w:p>
        </w:tc>
        <w:tc>
          <w:tcPr>
            <w:tcW w:w="1620" w:type="dxa"/>
            <w:noWrap/>
          </w:tcPr>
          <w:p w14:paraId="063D78A8" w14:textId="6CDF9FC4"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525" w:type="dxa"/>
          </w:tcPr>
          <w:p w14:paraId="7F4A6C11" w14:textId="5A010256"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F07799" w:rsidRPr="00EA5BE0" w14:paraId="74E5182F"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7665BAFF" w14:textId="4EF55EB0" w:rsidR="00F07799" w:rsidRPr="00EA5BE0" w:rsidRDefault="00F07799" w:rsidP="00F07799">
            <w:pPr>
              <w:pStyle w:val="TableListBullet"/>
            </w:pPr>
            <w:r w:rsidRPr="00EA5BE0">
              <w:t>adjusted-dose VKA, or aspirin</w:t>
            </w:r>
            <w:r>
              <w:t>.</w:t>
            </w:r>
          </w:p>
        </w:tc>
        <w:tc>
          <w:tcPr>
            <w:tcW w:w="1620" w:type="dxa"/>
            <w:noWrap/>
          </w:tcPr>
          <w:p w14:paraId="37C3AF24"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525" w:type="dxa"/>
          </w:tcPr>
          <w:p w14:paraId="6922BE22" w14:textId="77777777" w:rsidR="00F07799" w:rsidRPr="00EA5BE0" w:rsidDel="13D3B5C3"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F07799" w:rsidRPr="00EA5BE0" w14:paraId="624C4A27"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13DDAA41" w14:textId="322F95FB" w:rsidR="00F07799" w:rsidRPr="00EA5BE0" w:rsidRDefault="00F07799" w:rsidP="00F07799">
            <w:pPr>
              <w:pStyle w:val="TableTextLeft"/>
            </w:pPr>
            <w:r w:rsidRPr="00EA5BE0">
              <w:t xml:space="preserve">2.3.2 In patients undergoing HFS, irrespective of the concomitant use of an IPCD or length of treatment, we suggest the use of LMWH in preference to the other agents we have recommended as alternatives: </w:t>
            </w:r>
          </w:p>
        </w:tc>
        <w:tc>
          <w:tcPr>
            <w:tcW w:w="1620" w:type="dxa"/>
            <w:noWrap/>
            <w:hideMark/>
          </w:tcPr>
          <w:p w14:paraId="39D937BC"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525" w:type="dxa"/>
          </w:tcPr>
          <w:p w14:paraId="5D3C0302"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F07799" w:rsidRPr="00EA5BE0" w14:paraId="7BC76BBD"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3F833B9E" w14:textId="6BD532AA" w:rsidR="00F07799" w:rsidRPr="00EA5BE0" w:rsidRDefault="00F07799" w:rsidP="00F07799">
            <w:pPr>
              <w:pStyle w:val="TableListBullet"/>
            </w:pPr>
            <w:r w:rsidRPr="00EA5BE0">
              <w:t>fondaparinux, LDUH,</w:t>
            </w:r>
          </w:p>
        </w:tc>
        <w:tc>
          <w:tcPr>
            <w:tcW w:w="1620" w:type="dxa"/>
            <w:noWrap/>
          </w:tcPr>
          <w:p w14:paraId="2892FE7B" w14:textId="0D923E72"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525" w:type="dxa"/>
          </w:tcPr>
          <w:p w14:paraId="2A39859C" w14:textId="3E724FB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F07799" w:rsidRPr="00EA5BE0" w14:paraId="79853F11"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tcPr>
          <w:p w14:paraId="23C59F9F" w14:textId="0856B566" w:rsidR="00F07799" w:rsidRPr="00EA5BE0" w:rsidRDefault="00F07799" w:rsidP="00F07799">
            <w:pPr>
              <w:pStyle w:val="TableListBullet"/>
            </w:pPr>
            <w:r w:rsidRPr="00EA5BE0">
              <w:t>adjusted-dose VKA, or aspirin</w:t>
            </w:r>
            <w:r>
              <w:t>.</w:t>
            </w:r>
          </w:p>
        </w:tc>
        <w:tc>
          <w:tcPr>
            <w:tcW w:w="1620" w:type="dxa"/>
            <w:noWrap/>
          </w:tcPr>
          <w:p w14:paraId="6F896E5A"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525" w:type="dxa"/>
          </w:tcPr>
          <w:p w14:paraId="065B5980" w14:textId="77777777" w:rsidR="00F07799" w:rsidRPr="00EA5BE0" w:rsidDel="13D3B5C3"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F07799" w:rsidRPr="00EA5BE0" w14:paraId="63DC766E"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07D15887" w14:textId="336038DE" w:rsidR="00F07799" w:rsidRPr="00EA5BE0" w:rsidRDefault="00F07799" w:rsidP="00F07799">
            <w:pPr>
              <w:pStyle w:val="TableTextLeft"/>
            </w:pPr>
            <w:r w:rsidRPr="00EA5BE0">
              <w:t>2.4 For patients undergoing major orthopedic surgery, we suggest extending thromboprophylaxis in the outpatient period for up to 35 days from the day of surgery rather than for only 10 to 14 days</w:t>
            </w:r>
            <w:r>
              <w:t>.</w:t>
            </w:r>
          </w:p>
        </w:tc>
        <w:tc>
          <w:tcPr>
            <w:tcW w:w="1620" w:type="dxa"/>
            <w:noWrap/>
            <w:hideMark/>
          </w:tcPr>
          <w:p w14:paraId="053DF582"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525" w:type="dxa"/>
            <w:hideMark/>
          </w:tcPr>
          <w:p w14:paraId="35003420"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F07799" w:rsidRPr="00EA5BE0" w14:paraId="6179BA20"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1BB84CC1" w14:textId="40D43683" w:rsidR="00F07799" w:rsidRPr="00EA5BE0" w:rsidRDefault="00F07799" w:rsidP="00F07799">
            <w:pPr>
              <w:pStyle w:val="TableTextLeft"/>
            </w:pPr>
            <w:r w:rsidRPr="00EA5BE0">
              <w:t>2.5 In patients undergoing major orthopedic surgery, we suggest using dual prophylaxis with an antithrombotic agent and an IPCD during the hospital stay</w:t>
            </w:r>
            <w:r>
              <w:t>.</w:t>
            </w:r>
          </w:p>
        </w:tc>
        <w:tc>
          <w:tcPr>
            <w:tcW w:w="1620" w:type="dxa"/>
            <w:noWrap/>
            <w:hideMark/>
          </w:tcPr>
          <w:p w14:paraId="08654615"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525" w:type="dxa"/>
            <w:hideMark/>
          </w:tcPr>
          <w:p w14:paraId="303E4F6C"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F07799" w:rsidRPr="00EA5BE0" w14:paraId="56EC9F9D"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15E639F1" w14:textId="77777777" w:rsidR="00F07799" w:rsidRPr="00EA5BE0" w:rsidRDefault="00F07799" w:rsidP="00F07799">
            <w:pPr>
              <w:pStyle w:val="TableTextLeft"/>
            </w:pPr>
            <w:r w:rsidRPr="00EA5BE0">
              <w:t>2.6 In patients undergoing major orthopedic surgery and increased risk of bleeding, we suggest using an IPCD or no prophylaxis rather than pharmacologic treatment</w:t>
            </w:r>
          </w:p>
        </w:tc>
        <w:tc>
          <w:tcPr>
            <w:tcW w:w="1620" w:type="dxa"/>
            <w:noWrap/>
            <w:hideMark/>
          </w:tcPr>
          <w:p w14:paraId="3C497DA3"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525" w:type="dxa"/>
            <w:hideMark/>
          </w:tcPr>
          <w:p w14:paraId="6A659AB2"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F07799" w:rsidRPr="00EA5BE0" w14:paraId="2875BDC8"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4EB43B07" w14:textId="3A195193" w:rsidR="00F07799" w:rsidRPr="00EA5BE0" w:rsidRDefault="00F07799" w:rsidP="00F07799">
            <w:pPr>
              <w:pStyle w:val="TableTextLeft"/>
            </w:pPr>
            <w:r w:rsidRPr="00EA5BE0">
              <w:t>2.7 In patients undergoing major orthopedic surgery and who decline or are uncooperative with injections or an IPCD, we recommend using apixaban or dabigatran (alternatively rivaroxaban or adjusted-dose VKA if apixaban or dabigatran are unavailable) rather than alternative forms of prophylaxis</w:t>
            </w:r>
            <w:r>
              <w:t>.</w:t>
            </w:r>
          </w:p>
        </w:tc>
        <w:tc>
          <w:tcPr>
            <w:tcW w:w="1620" w:type="dxa"/>
            <w:noWrap/>
            <w:hideMark/>
          </w:tcPr>
          <w:p w14:paraId="73495215"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 xml:space="preserve">1 </w:t>
            </w:r>
          </w:p>
        </w:tc>
        <w:tc>
          <w:tcPr>
            <w:tcW w:w="1525" w:type="dxa"/>
            <w:hideMark/>
          </w:tcPr>
          <w:p w14:paraId="5EDEE7F6"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F07799" w:rsidRPr="00EA5BE0" w14:paraId="5CF6A6C2"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47FE6D55" w14:textId="4292F14E" w:rsidR="00F07799" w:rsidRPr="00EA5BE0" w:rsidRDefault="00F07799" w:rsidP="00F07799">
            <w:pPr>
              <w:pStyle w:val="TableTextLeft"/>
            </w:pPr>
            <w:r w:rsidRPr="00EA5BE0">
              <w:t>2.8 In patients undergoing major orthopedic surgery, we suggest against using IVC</w:t>
            </w:r>
            <w:r>
              <w:t xml:space="preserve"> </w:t>
            </w:r>
            <w:r w:rsidRPr="00EA5BE0">
              <w:t>filter placement for primary prevention over no thromboprophylaxis in patients with an increased bleeding risk or contraindications to both pharmacologic and mechanical thromboprophylaxis</w:t>
            </w:r>
            <w:r>
              <w:t>.</w:t>
            </w:r>
          </w:p>
        </w:tc>
        <w:tc>
          <w:tcPr>
            <w:tcW w:w="1620" w:type="dxa"/>
            <w:noWrap/>
            <w:hideMark/>
          </w:tcPr>
          <w:p w14:paraId="06B54141"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525" w:type="dxa"/>
            <w:hideMark/>
          </w:tcPr>
          <w:p w14:paraId="72951940"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F07799" w:rsidRPr="00EA5BE0" w14:paraId="792BE54C"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7D6839B6" w14:textId="531D7959" w:rsidR="00F07799" w:rsidRPr="00EA5BE0" w:rsidRDefault="00F07799" w:rsidP="00F07799">
            <w:pPr>
              <w:pStyle w:val="TableTextLeft"/>
            </w:pPr>
            <w:r w:rsidRPr="00EA5BE0">
              <w:t>2.9 For asymptomatic patients following major orthopedic surgery, we recommend against Doppler (or duplex) ultrasound (DUS) screening before hospital discharge</w:t>
            </w:r>
            <w:r>
              <w:t>.</w:t>
            </w:r>
          </w:p>
        </w:tc>
        <w:tc>
          <w:tcPr>
            <w:tcW w:w="1620" w:type="dxa"/>
            <w:noWrap/>
            <w:hideMark/>
          </w:tcPr>
          <w:p w14:paraId="227B0822"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 xml:space="preserve">1 </w:t>
            </w:r>
          </w:p>
        </w:tc>
        <w:tc>
          <w:tcPr>
            <w:tcW w:w="1525" w:type="dxa"/>
            <w:hideMark/>
          </w:tcPr>
          <w:p w14:paraId="64F3D47E"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F07799" w:rsidRPr="00EA5BE0" w14:paraId="15917D5F"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24089AA8" w14:textId="77777777" w:rsidR="00F07799" w:rsidRPr="00E9570B" w:rsidRDefault="00F07799" w:rsidP="00F07799">
            <w:pPr>
              <w:pStyle w:val="TableRowHead"/>
            </w:pPr>
            <w:r w:rsidRPr="00E9570B">
              <w:t>Guidelines focused on Isolated Lower-Leg Injuries Distal to the Knee</w:t>
            </w:r>
          </w:p>
        </w:tc>
        <w:tc>
          <w:tcPr>
            <w:tcW w:w="1620" w:type="dxa"/>
            <w:shd w:val="clear" w:color="auto" w:fill="0B2949" w:themeFill="accent1"/>
            <w:noWrap/>
          </w:tcPr>
          <w:p w14:paraId="7921F738" w14:textId="77777777" w:rsidR="00F07799" w:rsidRPr="00E9570B" w:rsidRDefault="00F07799" w:rsidP="00F07799">
            <w:pPr>
              <w:pStyle w:val="TableRowHead"/>
              <w:cnfStyle w:val="000000000000" w:firstRow="0" w:lastRow="0" w:firstColumn="0" w:lastColumn="0" w:oddVBand="0" w:evenVBand="0" w:oddHBand="0" w:evenHBand="0" w:firstRowFirstColumn="0" w:firstRowLastColumn="0" w:lastRowFirstColumn="0" w:lastRowLastColumn="0"/>
            </w:pPr>
          </w:p>
        </w:tc>
        <w:tc>
          <w:tcPr>
            <w:tcW w:w="1525" w:type="dxa"/>
            <w:shd w:val="clear" w:color="auto" w:fill="0B2949" w:themeFill="accent1"/>
          </w:tcPr>
          <w:p w14:paraId="27161788" w14:textId="77777777" w:rsidR="00F07799" w:rsidRPr="00E9570B" w:rsidRDefault="00F07799" w:rsidP="00F07799">
            <w:pPr>
              <w:pStyle w:val="TableRowHead"/>
              <w:cnfStyle w:val="000000000000" w:firstRow="0" w:lastRow="0" w:firstColumn="0" w:lastColumn="0" w:oddVBand="0" w:evenVBand="0" w:oddHBand="0" w:evenHBand="0" w:firstRowFirstColumn="0" w:firstRowLastColumn="0" w:lastRowFirstColumn="0" w:lastRowLastColumn="0"/>
            </w:pPr>
          </w:p>
        </w:tc>
      </w:tr>
      <w:tr w:rsidR="00F07799" w:rsidRPr="00EA5BE0" w14:paraId="066C02A1"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09836B80" w14:textId="51A7A116" w:rsidR="00F07799" w:rsidRPr="00EA5BE0" w:rsidRDefault="00F07799" w:rsidP="00F07799">
            <w:pPr>
              <w:pStyle w:val="TableTextLeft"/>
            </w:pPr>
            <w:r w:rsidRPr="00EA5BE0">
              <w:t>3.0 We suggest no prophylaxis rather than pharmacologic thromboprophylaxis in patients with isolated lower-leg injuries requiring leg immobilization</w:t>
            </w:r>
            <w:r>
              <w:t>.</w:t>
            </w:r>
          </w:p>
        </w:tc>
        <w:tc>
          <w:tcPr>
            <w:tcW w:w="1620" w:type="dxa"/>
            <w:noWrap/>
            <w:hideMark/>
          </w:tcPr>
          <w:p w14:paraId="11BFB3A4"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525" w:type="dxa"/>
            <w:hideMark/>
          </w:tcPr>
          <w:p w14:paraId="025B5F84"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F07799" w:rsidRPr="00EA5BE0" w14:paraId="4A794027"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78AD8C64" w14:textId="77777777" w:rsidR="00F07799" w:rsidRPr="00E9570B" w:rsidRDefault="00F07799" w:rsidP="00F07799">
            <w:pPr>
              <w:pStyle w:val="TableRowHead"/>
            </w:pPr>
            <w:r w:rsidRPr="00E9570B">
              <w:t>Guidelines focused on Knee Arthroscopy</w:t>
            </w:r>
          </w:p>
        </w:tc>
        <w:tc>
          <w:tcPr>
            <w:tcW w:w="1620" w:type="dxa"/>
            <w:shd w:val="clear" w:color="auto" w:fill="0B2949" w:themeFill="accent1"/>
            <w:noWrap/>
          </w:tcPr>
          <w:p w14:paraId="34EFC81D" w14:textId="77777777" w:rsidR="00F07799" w:rsidRPr="00E9570B" w:rsidRDefault="00F07799" w:rsidP="00F07799">
            <w:pPr>
              <w:pStyle w:val="TableRowHead"/>
              <w:cnfStyle w:val="000000000000" w:firstRow="0" w:lastRow="0" w:firstColumn="0" w:lastColumn="0" w:oddVBand="0" w:evenVBand="0" w:oddHBand="0" w:evenHBand="0" w:firstRowFirstColumn="0" w:firstRowLastColumn="0" w:lastRowFirstColumn="0" w:lastRowLastColumn="0"/>
            </w:pPr>
          </w:p>
        </w:tc>
        <w:tc>
          <w:tcPr>
            <w:tcW w:w="1525" w:type="dxa"/>
            <w:shd w:val="clear" w:color="auto" w:fill="0B2949" w:themeFill="accent1"/>
          </w:tcPr>
          <w:p w14:paraId="6DDCCB89" w14:textId="77777777" w:rsidR="00F07799" w:rsidRPr="00E9570B" w:rsidRDefault="00F07799" w:rsidP="00F07799">
            <w:pPr>
              <w:pStyle w:val="TableRowHead"/>
              <w:cnfStyle w:val="000000000000" w:firstRow="0" w:lastRow="0" w:firstColumn="0" w:lastColumn="0" w:oddVBand="0" w:evenVBand="0" w:oddHBand="0" w:evenHBand="0" w:firstRowFirstColumn="0" w:firstRowLastColumn="0" w:lastRowFirstColumn="0" w:lastRowLastColumn="0"/>
            </w:pPr>
          </w:p>
        </w:tc>
      </w:tr>
      <w:tr w:rsidR="00F07799" w:rsidRPr="00EA5BE0" w14:paraId="1158E07C" w14:textId="77777777" w:rsidTr="00EB7E54">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289EFBE6" w14:textId="3AF1055A" w:rsidR="00F07799" w:rsidRPr="00EA5BE0" w:rsidRDefault="00F07799" w:rsidP="00F07799">
            <w:pPr>
              <w:pStyle w:val="TableTextLeft"/>
            </w:pPr>
            <w:r w:rsidRPr="00EA5BE0">
              <w:t>4.0 For patients undergoing knee arthroscopy without a history of prior VTE, we suggest no thromboprophylaxis rather than prophylaxis</w:t>
            </w:r>
            <w:r>
              <w:t>.</w:t>
            </w:r>
          </w:p>
        </w:tc>
        <w:tc>
          <w:tcPr>
            <w:tcW w:w="1620" w:type="dxa"/>
            <w:noWrap/>
            <w:hideMark/>
          </w:tcPr>
          <w:p w14:paraId="76327753"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525" w:type="dxa"/>
            <w:hideMark/>
          </w:tcPr>
          <w:p w14:paraId="0918A404" w14:textId="77777777" w:rsidR="00F07799" w:rsidRPr="00EA5BE0" w:rsidRDefault="00F07799" w:rsidP="002850A3">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bl>
    <w:p w14:paraId="1A7E98E8" w14:textId="5149D660" w:rsidR="006E02BE" w:rsidRDefault="00EA5BE0" w:rsidP="00BE6C8E">
      <w:pPr>
        <w:pStyle w:val="H2"/>
      </w:pPr>
      <w:bookmarkStart w:id="12" w:name="_Toc195287983"/>
      <w:bookmarkStart w:id="13" w:name="_Toc159509362"/>
      <w:r w:rsidRPr="00BE6C8E">
        <w:lastRenderedPageBreak/>
        <w:t>3</w:t>
      </w:r>
      <w:r w:rsidR="006E02BE">
        <w:t>.</w:t>
      </w:r>
      <w:r w:rsidR="000D4E34">
        <w:tab/>
      </w:r>
      <w:r w:rsidR="00D86A54">
        <w:t>ACCP/</w:t>
      </w:r>
      <w:r w:rsidR="006E02BE">
        <w:t xml:space="preserve">CHEST: </w:t>
      </w:r>
      <w:r w:rsidR="00D15FE2">
        <w:t xml:space="preserve">2021 </w:t>
      </w:r>
      <w:r w:rsidR="005B470E">
        <w:t xml:space="preserve">Second Update of </w:t>
      </w:r>
      <w:r w:rsidR="006E02BE">
        <w:t>Antithrombotic Therapy for VTE Disease</w:t>
      </w:r>
      <w:r w:rsidR="002B2D7D">
        <w:t xml:space="preserve"> Guidelines</w:t>
      </w:r>
      <w:bookmarkEnd w:id="12"/>
    </w:p>
    <w:p w14:paraId="0E41B6BF" w14:textId="1D1FD0EA" w:rsidR="002B2D7D" w:rsidRPr="00F07799" w:rsidRDefault="006359AC" w:rsidP="00F07799">
      <w:pPr>
        <w:pStyle w:val="Paragraph"/>
      </w:pPr>
      <w:hyperlink r:id="rId21" w:history="1">
        <w:r w:rsidRPr="00AE4A08">
          <w:rPr>
            <w:rStyle w:val="Hyperlink"/>
          </w:rPr>
          <w:t>Stevens, S. M., Woller, S. C., Kreuziger, L. B., Bounameaux, H., Doerschug, K., Geersing, G. J., Huisman, M. V., Kearon, C., King, C. S., Knighton, A. J., Lake, E., Murin, S., Vintch, J. R. E., Wells, P. S., &amp; Moores, L. K. (2021). Antithrombotic Therapy for VTE Disease: Second Update of the CHEST Guideline and Expert Panel Report. </w:t>
        </w:r>
        <w:r w:rsidRPr="00AE4A08">
          <w:rPr>
            <w:rStyle w:val="Hyperlink"/>
            <w:i/>
            <w:iCs/>
          </w:rPr>
          <w:t>Chest</w:t>
        </w:r>
        <w:r w:rsidRPr="00AE4A08">
          <w:rPr>
            <w:rStyle w:val="Hyperlink"/>
          </w:rPr>
          <w:t>, </w:t>
        </w:r>
        <w:r w:rsidRPr="00AE4A08">
          <w:rPr>
            <w:rStyle w:val="Hyperlink"/>
            <w:i/>
            <w:iCs/>
          </w:rPr>
          <w:t>160</w:t>
        </w:r>
        <w:r w:rsidRPr="00AE4A08">
          <w:rPr>
            <w:rStyle w:val="Hyperlink"/>
          </w:rPr>
          <w:t>(6), e545–e608. https://doi.org/10.1016/j.chest.2021.07.055</w:t>
        </w:r>
      </w:hyperlink>
    </w:p>
    <w:p w14:paraId="22562779" w14:textId="3EB377F3" w:rsidR="009571F3" w:rsidRDefault="007234E6" w:rsidP="002B2D7D">
      <w:pPr>
        <w:pStyle w:val="Paragraph"/>
      </w:pPr>
      <w:r>
        <w:t xml:space="preserve">The </w:t>
      </w:r>
      <w:r w:rsidR="00D86A54">
        <w:t>ACCP/</w:t>
      </w:r>
      <w:r w:rsidR="001C12EC">
        <w:t>CHEST p</w:t>
      </w:r>
      <w:r w:rsidR="00DA784A">
        <w:t xml:space="preserve">rovides </w:t>
      </w:r>
      <w:r>
        <w:t xml:space="preserve">guidance via </w:t>
      </w:r>
      <w:r w:rsidR="000975D1">
        <w:t xml:space="preserve">clinical practice recommendations for the </w:t>
      </w:r>
      <w:r w:rsidR="00C4721B">
        <w:t>treatment of VTE</w:t>
      </w:r>
      <w:r w:rsidR="000B4F88">
        <w:t xml:space="preserve">. </w:t>
      </w:r>
      <w:r w:rsidR="0059135A">
        <w:t>The updated guideline</w:t>
      </w:r>
      <w:r w:rsidR="00EB6497">
        <w:t xml:space="preserve"> is based on a systematic review of evidence and </w:t>
      </w:r>
      <w:r w:rsidR="00DF05DB">
        <w:t>cover</w:t>
      </w:r>
      <w:r w:rsidR="00EB6497">
        <w:t>s</w:t>
      </w:r>
      <w:r w:rsidR="00DF05DB">
        <w:t xml:space="preserve"> aspects of </w:t>
      </w:r>
      <w:r w:rsidR="006F1E12">
        <w:t xml:space="preserve">antithrombotic management of VTE </w:t>
      </w:r>
      <w:r w:rsidR="003D6636">
        <w:t xml:space="preserve">and risk reduction of </w:t>
      </w:r>
      <w:r w:rsidR="003B30A3">
        <w:t>post-thrombotic</w:t>
      </w:r>
      <w:r w:rsidR="003D6636">
        <w:t xml:space="preserve"> syndrome. </w:t>
      </w:r>
      <w:r w:rsidR="00A02241">
        <w:t xml:space="preserve">The target audience </w:t>
      </w:r>
      <w:r w:rsidR="009571F3">
        <w:t>includes</w:t>
      </w:r>
      <w:r w:rsidR="000F1571">
        <w:t xml:space="preserve"> patients, policymakers, and</w:t>
      </w:r>
      <w:r w:rsidR="009571F3">
        <w:t xml:space="preserve"> </w:t>
      </w:r>
      <w:r w:rsidR="009571F3" w:rsidRPr="009571F3">
        <w:t>physicians who treat patients with VTE</w:t>
      </w:r>
      <w:r w:rsidR="009571F3">
        <w:t xml:space="preserve">. </w:t>
      </w:r>
    </w:p>
    <w:p w14:paraId="0478FE9B" w14:textId="7905A644" w:rsidR="00DF75D3" w:rsidRDefault="00DB12A5" w:rsidP="002B2D7D">
      <w:pPr>
        <w:pStyle w:val="Paragraph"/>
        <w:rPr>
          <w:b/>
          <w:bCs/>
        </w:rPr>
      </w:pPr>
      <w:r>
        <w:t xml:space="preserve">The methodology for determining strength of recommendation </w:t>
      </w:r>
      <w:r w:rsidR="00D86A54" w:rsidRPr="00D86A54">
        <w:rPr>
          <w:b/>
          <w:bCs/>
        </w:rPr>
        <w:t>(Table 9)</w:t>
      </w:r>
      <w:r>
        <w:rPr>
          <w:b/>
          <w:bCs/>
        </w:rPr>
        <w:t xml:space="preserve"> </w:t>
      </w:r>
      <w:r w:rsidRPr="00DB12A5">
        <w:t>and strength of evidence</w:t>
      </w:r>
      <w:r w:rsidR="007D530E">
        <w:t xml:space="preserve">, </w:t>
      </w:r>
      <w:r w:rsidR="005012FE">
        <w:t xml:space="preserve">based on </w:t>
      </w:r>
      <w:r>
        <w:t xml:space="preserve">the </w:t>
      </w:r>
      <w:r w:rsidR="005012FE">
        <w:t xml:space="preserve">GRADE </w:t>
      </w:r>
      <w:r w:rsidR="007D530E">
        <w:t>methodology (</w:t>
      </w:r>
      <w:r w:rsidR="00A354CB" w:rsidRPr="00A354CB">
        <w:rPr>
          <w:b/>
          <w:bCs/>
        </w:rPr>
        <w:t xml:space="preserve">Table </w:t>
      </w:r>
      <w:r w:rsidR="00D86A54">
        <w:rPr>
          <w:b/>
          <w:bCs/>
        </w:rPr>
        <w:t>10</w:t>
      </w:r>
      <w:r w:rsidR="00A354CB" w:rsidRPr="00A354CB">
        <w:rPr>
          <w:b/>
          <w:bCs/>
        </w:rPr>
        <w:t>)</w:t>
      </w:r>
      <w:r w:rsidR="00C85EED">
        <w:rPr>
          <w:b/>
          <w:bCs/>
        </w:rPr>
        <w:t xml:space="preserve"> </w:t>
      </w:r>
      <w:r w:rsidR="00C85EED" w:rsidRPr="00623468">
        <w:t>is li</w:t>
      </w:r>
      <w:r w:rsidR="00C85EED" w:rsidRPr="00C85EED">
        <w:t>sted below, followed by key guideline recommendation statements</w:t>
      </w:r>
      <w:r w:rsidR="00C85EED">
        <w:rPr>
          <w:b/>
          <w:bCs/>
        </w:rPr>
        <w:t xml:space="preserve"> (Table 1</w:t>
      </w:r>
      <w:r w:rsidR="00623468">
        <w:rPr>
          <w:b/>
          <w:bCs/>
        </w:rPr>
        <w:t>1</w:t>
      </w:r>
      <w:r w:rsidR="00C85EED">
        <w:rPr>
          <w:b/>
          <w:bCs/>
        </w:rPr>
        <w:t>)</w:t>
      </w:r>
      <w:r w:rsidR="00D86A54">
        <w:rPr>
          <w:b/>
          <w:bCs/>
        </w:rPr>
        <w:t>.</w:t>
      </w:r>
    </w:p>
    <w:p w14:paraId="2D6A0D24" w14:textId="2EADE7C7" w:rsidR="00D949C2" w:rsidRPr="00D949C2" w:rsidRDefault="00D949C2" w:rsidP="002B2D7D">
      <w:pPr>
        <w:pStyle w:val="Paragraph"/>
      </w:pPr>
      <w:r w:rsidRPr="00D949C2">
        <w:t>Within each recommendation, the strength of recommendation is indicated as strong recommendation (1), or weak/conditional recommendation</w:t>
      </w:r>
      <w:r w:rsidR="00F07799">
        <w:t> </w:t>
      </w:r>
      <w:r w:rsidRPr="00D949C2">
        <w:t>(2).</w:t>
      </w:r>
    </w:p>
    <w:p w14:paraId="49555339" w14:textId="0B83EDB5" w:rsidR="000D2DC1" w:rsidRPr="00EA5BE0" w:rsidRDefault="000D2DC1" w:rsidP="00F07799">
      <w:pPr>
        <w:pStyle w:val="TableTitle"/>
        <w:rPr>
          <w:rFonts w:ascii="Calibri" w:eastAsia="Calibri" w:hAnsi="Calibri" w:cs="Calibri"/>
          <w:sz w:val="12"/>
          <w:szCs w:val="8"/>
        </w:rPr>
      </w:pPr>
      <w:r w:rsidRPr="00F07799">
        <w:rPr>
          <w:b/>
          <w:bCs/>
        </w:rPr>
        <w:t xml:space="preserve">Table </w:t>
      </w:r>
      <w:r w:rsidR="00A354CB" w:rsidRPr="00F07799">
        <w:rPr>
          <w:b/>
          <w:bCs/>
        </w:rPr>
        <w:t>9</w:t>
      </w:r>
      <w:r w:rsidR="00F07799" w:rsidRPr="00F07799">
        <w:rPr>
          <w:b/>
          <w:bCs/>
        </w:rPr>
        <w:t>.</w:t>
      </w:r>
      <w:r w:rsidRPr="00F07799">
        <w:rPr>
          <w:b/>
          <w:bCs/>
        </w:rPr>
        <w:t xml:space="preserve"> </w:t>
      </w:r>
      <w:r w:rsidRPr="006C7E09">
        <w:t>CHEST (20</w:t>
      </w:r>
      <w:r>
        <w:t>21</w:t>
      </w:r>
      <w:r w:rsidRPr="006C7E09">
        <w:t>) Strength of Recommendation Criteria (GRADE)</w:t>
      </w:r>
    </w:p>
    <w:tbl>
      <w:tblPr>
        <w:tblStyle w:val="AlternateTable"/>
        <w:tblW w:w="0" w:type="auto"/>
        <w:tblLook w:val="04A0" w:firstRow="1" w:lastRow="0" w:firstColumn="1" w:lastColumn="0" w:noHBand="0" w:noVBand="1"/>
      </w:tblPr>
      <w:tblGrid>
        <w:gridCol w:w="2520"/>
        <w:gridCol w:w="2250"/>
        <w:gridCol w:w="8180"/>
      </w:tblGrid>
      <w:tr w:rsidR="000D2DC1" w:rsidRPr="00EA5BE0" w14:paraId="341AEE7F" w14:textId="77777777" w:rsidTr="00F07799">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2520" w:type="dxa"/>
            <w:vAlign w:val="bottom"/>
          </w:tcPr>
          <w:p w14:paraId="69669AC1" w14:textId="77777777" w:rsidR="000D2DC1" w:rsidRPr="00EA5BE0" w:rsidRDefault="000D2DC1" w:rsidP="00F07799">
            <w:pPr>
              <w:pStyle w:val="TableHeaderLeft"/>
              <w:rPr>
                <w:b w:val="0"/>
              </w:rPr>
            </w:pPr>
            <w:r w:rsidRPr="00EA5BE0">
              <w:t>Recommendation Grading</w:t>
            </w:r>
          </w:p>
        </w:tc>
        <w:tc>
          <w:tcPr>
            <w:tcW w:w="2250" w:type="dxa"/>
            <w:vAlign w:val="bottom"/>
            <w:hideMark/>
          </w:tcPr>
          <w:p w14:paraId="204BD148" w14:textId="77777777" w:rsidR="000D2DC1" w:rsidRPr="00EA5BE0" w:rsidRDefault="000D2DC1" w:rsidP="00F07799">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Meaning</w:t>
            </w:r>
          </w:p>
        </w:tc>
        <w:tc>
          <w:tcPr>
            <w:tcW w:w="8180" w:type="dxa"/>
            <w:vAlign w:val="bottom"/>
            <w:hideMark/>
          </w:tcPr>
          <w:p w14:paraId="17A8719A" w14:textId="77777777" w:rsidR="000D2DC1" w:rsidRPr="00EA5BE0" w:rsidRDefault="000D2DC1" w:rsidP="00F07799">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Rationale</w:t>
            </w:r>
          </w:p>
        </w:tc>
      </w:tr>
      <w:tr w:rsidR="000D2DC1" w:rsidRPr="00EA5BE0" w14:paraId="5BD7F347" w14:textId="77777777" w:rsidTr="00F07799">
        <w:trPr>
          <w:trHeight w:val="120"/>
        </w:trPr>
        <w:tc>
          <w:tcPr>
            <w:cnfStyle w:val="001000000000" w:firstRow="0" w:lastRow="0" w:firstColumn="1" w:lastColumn="0" w:oddVBand="0" w:evenVBand="0" w:oddHBand="0" w:evenHBand="0" w:firstRowFirstColumn="0" w:firstRowLastColumn="0" w:lastRowFirstColumn="0" w:lastRowLastColumn="0"/>
            <w:tcW w:w="2520" w:type="dxa"/>
          </w:tcPr>
          <w:p w14:paraId="083C57E8" w14:textId="77777777" w:rsidR="000D2DC1" w:rsidRPr="00EA5BE0" w:rsidRDefault="000D2DC1" w:rsidP="00F07799">
            <w:pPr>
              <w:pStyle w:val="TableTextLeft"/>
            </w:pPr>
            <w:r w:rsidRPr="00EA5BE0">
              <w:t>1</w:t>
            </w:r>
          </w:p>
        </w:tc>
        <w:tc>
          <w:tcPr>
            <w:tcW w:w="2250" w:type="dxa"/>
          </w:tcPr>
          <w:p w14:paraId="0E0503A0" w14:textId="77777777" w:rsidR="000D2DC1" w:rsidRPr="00EA5BE0" w:rsidRDefault="000D2DC1" w:rsidP="00F07799">
            <w:pPr>
              <w:pStyle w:val="TableTextLeft"/>
              <w:cnfStyle w:val="000000000000" w:firstRow="0" w:lastRow="0" w:firstColumn="0" w:lastColumn="0" w:oddVBand="0" w:evenVBand="0" w:oddHBand="0" w:evenHBand="0" w:firstRowFirstColumn="0" w:firstRowLastColumn="0" w:lastRowFirstColumn="0" w:lastRowLastColumn="0"/>
            </w:pPr>
            <w:r w:rsidRPr="00EA5BE0">
              <w:t>Strong</w:t>
            </w:r>
          </w:p>
        </w:tc>
        <w:tc>
          <w:tcPr>
            <w:tcW w:w="8180" w:type="dxa"/>
          </w:tcPr>
          <w:p w14:paraId="7168C845" w14:textId="77777777" w:rsidR="000D2DC1" w:rsidRPr="00EA5BE0" w:rsidRDefault="000D2DC1" w:rsidP="00F07799">
            <w:pPr>
              <w:pStyle w:val="TableTextLeft"/>
              <w:cnfStyle w:val="000000000000" w:firstRow="0" w:lastRow="0" w:firstColumn="0" w:lastColumn="0" w:oddVBand="0" w:evenVBand="0" w:oddHBand="0" w:evenHBand="0" w:firstRowFirstColumn="0" w:firstRowLastColumn="0" w:lastRowFirstColumn="0" w:lastRowLastColumn="0"/>
            </w:pPr>
            <w:r w:rsidRPr="00EA5BE0">
              <w:rPr>
                <w:rFonts w:eastAsia="Calibri"/>
                <w:shd w:val="clear" w:color="auto" w:fill="FFFFFF"/>
              </w:rPr>
              <w:t>The panel is highly confident of the balance between desirable and undesirable consequences. </w:t>
            </w:r>
          </w:p>
        </w:tc>
      </w:tr>
      <w:tr w:rsidR="000D2DC1" w:rsidRPr="00EA5BE0" w14:paraId="65462E31" w14:textId="77777777" w:rsidTr="00F07799">
        <w:trPr>
          <w:trHeight w:val="120"/>
        </w:trPr>
        <w:tc>
          <w:tcPr>
            <w:cnfStyle w:val="001000000000" w:firstRow="0" w:lastRow="0" w:firstColumn="1" w:lastColumn="0" w:oddVBand="0" w:evenVBand="0" w:oddHBand="0" w:evenHBand="0" w:firstRowFirstColumn="0" w:firstRowLastColumn="0" w:lastRowFirstColumn="0" w:lastRowLastColumn="0"/>
            <w:tcW w:w="2520" w:type="dxa"/>
          </w:tcPr>
          <w:p w14:paraId="069CE082" w14:textId="77777777" w:rsidR="000D2DC1" w:rsidRPr="00EA5BE0" w:rsidRDefault="000D2DC1" w:rsidP="00F07799">
            <w:pPr>
              <w:pStyle w:val="TableTextLeft"/>
            </w:pPr>
            <w:r w:rsidRPr="00EA5BE0">
              <w:t>2</w:t>
            </w:r>
          </w:p>
        </w:tc>
        <w:tc>
          <w:tcPr>
            <w:tcW w:w="2250" w:type="dxa"/>
          </w:tcPr>
          <w:p w14:paraId="4B5D9C6A" w14:textId="77777777" w:rsidR="000D2DC1" w:rsidRPr="00EA5BE0" w:rsidRDefault="000D2DC1" w:rsidP="00F07799">
            <w:pPr>
              <w:pStyle w:val="TableTextLeft"/>
              <w:cnfStyle w:val="000000000000" w:firstRow="0" w:lastRow="0" w:firstColumn="0" w:lastColumn="0" w:oddVBand="0" w:evenVBand="0" w:oddHBand="0" w:evenHBand="0" w:firstRowFirstColumn="0" w:firstRowLastColumn="0" w:lastRowFirstColumn="0" w:lastRowLastColumn="0"/>
            </w:pPr>
            <w:r w:rsidRPr="00EA5BE0">
              <w:t>Weak/Conditional</w:t>
            </w:r>
          </w:p>
        </w:tc>
        <w:tc>
          <w:tcPr>
            <w:tcW w:w="8180" w:type="dxa"/>
          </w:tcPr>
          <w:p w14:paraId="61466965" w14:textId="77777777" w:rsidR="000D2DC1" w:rsidRPr="00EA5BE0" w:rsidRDefault="000D2DC1" w:rsidP="00F07799">
            <w:pPr>
              <w:pStyle w:val="TableTextLeft"/>
              <w:cnfStyle w:val="000000000000" w:firstRow="0" w:lastRow="0" w:firstColumn="0" w:lastColumn="0" w:oddVBand="0" w:evenVBand="0" w:oddHBand="0" w:evenHBand="0" w:firstRowFirstColumn="0" w:firstRowLastColumn="0" w:lastRowFirstColumn="0" w:lastRowLastColumn="0"/>
            </w:pPr>
            <w:r w:rsidRPr="00EA5BE0">
              <w:rPr>
                <w:rFonts w:eastAsia="Calibri"/>
                <w:shd w:val="clear" w:color="auto" w:fill="FFFFFF"/>
              </w:rPr>
              <w:t>The panel is less confident of the balance between desirable and undesirable consequences </w:t>
            </w:r>
          </w:p>
        </w:tc>
      </w:tr>
    </w:tbl>
    <w:p w14:paraId="1075F70C" w14:textId="6A5E4167" w:rsidR="00F425DF" w:rsidRPr="00EA5BE0" w:rsidRDefault="00F425DF" w:rsidP="00C55382">
      <w:pPr>
        <w:pStyle w:val="TableTitle"/>
        <w:rPr>
          <w:rFonts w:ascii="Calibri" w:eastAsia="Calibri" w:hAnsi="Calibri" w:cs="Calibri"/>
          <w:sz w:val="16"/>
          <w:szCs w:val="12"/>
        </w:rPr>
      </w:pPr>
      <w:r w:rsidRPr="00F07799">
        <w:rPr>
          <w:b/>
          <w:bCs/>
        </w:rPr>
        <w:t xml:space="preserve">Table </w:t>
      </w:r>
      <w:r w:rsidR="00D86A54" w:rsidRPr="00F07799">
        <w:rPr>
          <w:b/>
          <w:bCs/>
        </w:rPr>
        <w:t>10</w:t>
      </w:r>
      <w:r w:rsidR="00F07799" w:rsidRPr="00F07799">
        <w:rPr>
          <w:b/>
          <w:bCs/>
        </w:rPr>
        <w:t>.</w:t>
      </w:r>
      <w:r w:rsidRPr="00EA5BE0">
        <w:t xml:space="preserve"> CHEST (20</w:t>
      </w:r>
      <w:r>
        <w:t>21</w:t>
      </w:r>
      <w:r w:rsidRPr="00EA5BE0">
        <w:t>)</w:t>
      </w:r>
      <w:r w:rsidR="00E55A62">
        <w:t xml:space="preserve"> </w:t>
      </w:r>
      <w:r w:rsidRPr="00EA5BE0">
        <w:t>Strength of Evidence Criteria (GRADE)</w:t>
      </w:r>
    </w:p>
    <w:tbl>
      <w:tblPr>
        <w:tblStyle w:val="AlternateTable"/>
        <w:tblW w:w="0" w:type="auto"/>
        <w:tblLook w:val="04A0" w:firstRow="1" w:lastRow="0" w:firstColumn="1" w:lastColumn="0" w:noHBand="0" w:noVBand="1"/>
      </w:tblPr>
      <w:tblGrid>
        <w:gridCol w:w="2160"/>
        <w:gridCol w:w="10800"/>
      </w:tblGrid>
      <w:tr w:rsidR="00F425DF" w:rsidRPr="00EA5BE0" w14:paraId="154CAC91" w14:textId="77777777" w:rsidTr="000D4E3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60" w:type="dxa"/>
            <w:vAlign w:val="bottom"/>
            <w:hideMark/>
          </w:tcPr>
          <w:p w14:paraId="65A37A20" w14:textId="77777777" w:rsidR="00F425DF" w:rsidRPr="00EA5BE0" w:rsidRDefault="00F425DF" w:rsidP="00C55382">
            <w:pPr>
              <w:pStyle w:val="TableHeaderLeft"/>
              <w:rPr>
                <w:b w:val="0"/>
              </w:rPr>
            </w:pPr>
            <w:r w:rsidRPr="00EA5BE0">
              <w:t>Strength of Evidence</w:t>
            </w:r>
          </w:p>
        </w:tc>
        <w:tc>
          <w:tcPr>
            <w:tcW w:w="10800" w:type="dxa"/>
            <w:vAlign w:val="bottom"/>
            <w:hideMark/>
          </w:tcPr>
          <w:p w14:paraId="4B9103D4" w14:textId="77777777" w:rsidR="00F425DF" w:rsidRPr="00EA5BE0" w:rsidRDefault="00F425DF" w:rsidP="00C55382">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Rationale</w:t>
            </w:r>
          </w:p>
        </w:tc>
      </w:tr>
      <w:tr w:rsidR="00F425DF" w:rsidRPr="00EA5BE0" w14:paraId="0F3EBC5B" w14:textId="77777777" w:rsidTr="000D4E34">
        <w:tc>
          <w:tcPr>
            <w:cnfStyle w:val="001000000000" w:firstRow="0" w:lastRow="0" w:firstColumn="1" w:lastColumn="0" w:oddVBand="0" w:evenVBand="0" w:oddHBand="0" w:evenHBand="0" w:firstRowFirstColumn="0" w:firstRowLastColumn="0" w:lastRowFirstColumn="0" w:lastRowLastColumn="0"/>
            <w:tcW w:w="2160" w:type="dxa"/>
          </w:tcPr>
          <w:p w14:paraId="3C9BBA62" w14:textId="77777777" w:rsidR="00F425DF" w:rsidRPr="00EA5BE0" w:rsidRDefault="00F425DF" w:rsidP="00C55382">
            <w:pPr>
              <w:pStyle w:val="TableTextLeft"/>
            </w:pPr>
            <w:r w:rsidRPr="00EA5BE0">
              <w:t>High</w:t>
            </w:r>
          </w:p>
        </w:tc>
        <w:tc>
          <w:tcPr>
            <w:tcW w:w="10800" w:type="dxa"/>
          </w:tcPr>
          <w:p w14:paraId="3D4A07BC" w14:textId="77777777" w:rsidR="00F425DF" w:rsidRPr="00EA5BE0" w:rsidRDefault="00F425DF" w:rsidP="00C5538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4+  </w:t>
            </w:r>
          </w:p>
          <w:p w14:paraId="5C1791BC" w14:textId="77777777" w:rsidR="00F425DF" w:rsidRPr="00EA5BE0" w:rsidRDefault="00F425DF" w:rsidP="00C5538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We are very confident that the true effect lies close to that of the estimate of the effect.  </w:t>
            </w:r>
          </w:p>
        </w:tc>
      </w:tr>
      <w:tr w:rsidR="00F425DF" w:rsidRPr="00EA5BE0" w14:paraId="73E1A60C" w14:textId="77777777" w:rsidTr="000D4E34">
        <w:tc>
          <w:tcPr>
            <w:cnfStyle w:val="001000000000" w:firstRow="0" w:lastRow="0" w:firstColumn="1" w:lastColumn="0" w:oddVBand="0" w:evenVBand="0" w:oddHBand="0" w:evenHBand="0" w:firstRowFirstColumn="0" w:firstRowLastColumn="0" w:lastRowFirstColumn="0" w:lastRowLastColumn="0"/>
            <w:tcW w:w="2160" w:type="dxa"/>
          </w:tcPr>
          <w:p w14:paraId="6A41EAE7" w14:textId="77777777" w:rsidR="00F425DF" w:rsidRPr="00EA5BE0" w:rsidRDefault="00F425DF" w:rsidP="00C55382">
            <w:pPr>
              <w:pStyle w:val="TableTextLeft"/>
            </w:pPr>
            <w:r w:rsidRPr="00EA5BE0">
              <w:t>Moderate</w:t>
            </w:r>
          </w:p>
        </w:tc>
        <w:tc>
          <w:tcPr>
            <w:tcW w:w="10800" w:type="dxa"/>
          </w:tcPr>
          <w:p w14:paraId="7DDD9C38" w14:textId="77777777" w:rsidR="00F425DF" w:rsidRPr="00EA5BE0" w:rsidRDefault="00F425DF" w:rsidP="00C5538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3+ </w:t>
            </w:r>
          </w:p>
          <w:p w14:paraId="39BF1DA9" w14:textId="77777777" w:rsidR="00F425DF" w:rsidRPr="00EA5BE0" w:rsidRDefault="00F425DF" w:rsidP="00C5538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We are moderately confident in the effect estimate: The true effect is likely to be close to the estimate of the effect, but there is a possibility that it is substantially different. </w:t>
            </w:r>
          </w:p>
        </w:tc>
      </w:tr>
      <w:tr w:rsidR="00F425DF" w:rsidRPr="00EA5BE0" w14:paraId="703DE72A" w14:textId="77777777" w:rsidTr="000D4E34">
        <w:tc>
          <w:tcPr>
            <w:cnfStyle w:val="001000000000" w:firstRow="0" w:lastRow="0" w:firstColumn="1" w:lastColumn="0" w:oddVBand="0" w:evenVBand="0" w:oddHBand="0" w:evenHBand="0" w:firstRowFirstColumn="0" w:firstRowLastColumn="0" w:lastRowFirstColumn="0" w:lastRowLastColumn="0"/>
            <w:tcW w:w="2160" w:type="dxa"/>
          </w:tcPr>
          <w:p w14:paraId="0CF195C1" w14:textId="77777777" w:rsidR="00F425DF" w:rsidRPr="00EA5BE0" w:rsidRDefault="00F425DF" w:rsidP="00C55382">
            <w:pPr>
              <w:pStyle w:val="TableTextLeft"/>
            </w:pPr>
            <w:r w:rsidRPr="00EA5BE0">
              <w:t>Low</w:t>
            </w:r>
          </w:p>
        </w:tc>
        <w:tc>
          <w:tcPr>
            <w:tcW w:w="10800" w:type="dxa"/>
          </w:tcPr>
          <w:p w14:paraId="2B0ABEB8" w14:textId="77777777" w:rsidR="00F425DF" w:rsidRPr="00EA5BE0" w:rsidRDefault="00F425DF" w:rsidP="00C5538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2+ </w:t>
            </w:r>
          </w:p>
          <w:p w14:paraId="564355C2" w14:textId="77777777" w:rsidR="00F425DF" w:rsidRPr="00EA5BE0" w:rsidRDefault="00F425DF" w:rsidP="00C5538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Our confidence in the effect estimate is limited: The true effect may be substantially different from the estimate of the effect.  </w:t>
            </w:r>
          </w:p>
        </w:tc>
      </w:tr>
      <w:tr w:rsidR="00F425DF" w:rsidRPr="00EA5BE0" w14:paraId="5C8ABFA8" w14:textId="77777777" w:rsidTr="000D4E34">
        <w:tc>
          <w:tcPr>
            <w:cnfStyle w:val="001000000000" w:firstRow="0" w:lastRow="0" w:firstColumn="1" w:lastColumn="0" w:oddVBand="0" w:evenVBand="0" w:oddHBand="0" w:evenHBand="0" w:firstRowFirstColumn="0" w:firstRowLastColumn="0" w:lastRowFirstColumn="0" w:lastRowLastColumn="0"/>
            <w:tcW w:w="2160" w:type="dxa"/>
          </w:tcPr>
          <w:p w14:paraId="784342D2" w14:textId="77777777" w:rsidR="00F425DF" w:rsidRPr="00EA5BE0" w:rsidRDefault="00F425DF" w:rsidP="00C55382">
            <w:pPr>
              <w:pStyle w:val="TableTextLeft"/>
            </w:pPr>
            <w:r w:rsidRPr="00EA5BE0">
              <w:t>Very Low</w:t>
            </w:r>
          </w:p>
        </w:tc>
        <w:tc>
          <w:tcPr>
            <w:tcW w:w="10800" w:type="dxa"/>
          </w:tcPr>
          <w:p w14:paraId="47677C02" w14:textId="77777777" w:rsidR="00F425DF" w:rsidRPr="00EA5BE0" w:rsidRDefault="00F425DF" w:rsidP="00C5538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1+ </w:t>
            </w:r>
          </w:p>
          <w:p w14:paraId="680D2D2B" w14:textId="77777777" w:rsidR="00F425DF" w:rsidRPr="00EA5BE0" w:rsidRDefault="00F425DF" w:rsidP="00C5538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We have very little confidence in the effect of the estimate: The true effect is likely to be substantially different from the estimate of the effect. </w:t>
            </w:r>
          </w:p>
        </w:tc>
      </w:tr>
    </w:tbl>
    <w:p w14:paraId="2C12DA65" w14:textId="5DEC64D0" w:rsidR="001C7CCE" w:rsidRPr="00EA5BE0" w:rsidRDefault="001C7CCE" w:rsidP="000D4E34">
      <w:pPr>
        <w:pStyle w:val="TableTitle"/>
        <w:rPr>
          <w:rFonts w:ascii="Calibri" w:eastAsia="Calibri" w:hAnsi="Calibri" w:cs="Calibri"/>
          <w:sz w:val="12"/>
          <w:szCs w:val="8"/>
        </w:rPr>
      </w:pPr>
      <w:r w:rsidRPr="000D4E34">
        <w:rPr>
          <w:b/>
          <w:bCs/>
        </w:rPr>
        <w:lastRenderedPageBreak/>
        <w:t xml:space="preserve">Table </w:t>
      </w:r>
      <w:r w:rsidR="00D024AF" w:rsidRPr="000D4E34">
        <w:rPr>
          <w:b/>
          <w:bCs/>
        </w:rPr>
        <w:t>11</w:t>
      </w:r>
      <w:r w:rsidR="000D4E34" w:rsidRPr="000D4E34">
        <w:rPr>
          <w:b/>
          <w:bCs/>
        </w:rPr>
        <w:t>.</w:t>
      </w:r>
      <w:r w:rsidRPr="000D4E34">
        <w:rPr>
          <w:b/>
          <w:bCs/>
        </w:rPr>
        <w:t xml:space="preserve"> </w:t>
      </w:r>
      <w:r w:rsidR="00D024AF">
        <w:t>ACCP/</w:t>
      </w:r>
      <w:r>
        <w:t>CHEST</w:t>
      </w:r>
      <w:r w:rsidR="009829A1">
        <w:t xml:space="preserve"> (2021)</w:t>
      </w:r>
      <w:r w:rsidRPr="00EA5BE0">
        <w:t xml:space="preserve"> </w:t>
      </w:r>
      <w:r w:rsidR="00C06C54" w:rsidRPr="00C06C54">
        <w:t xml:space="preserve">Antithrombotic Therapy </w:t>
      </w:r>
      <w:r w:rsidRPr="00EA5BE0">
        <w:t>Guidelines that Support the Measure</w:t>
      </w:r>
    </w:p>
    <w:tbl>
      <w:tblPr>
        <w:tblStyle w:val="AlternateTable"/>
        <w:tblW w:w="5000" w:type="pct"/>
        <w:tblLook w:val="04A0" w:firstRow="1" w:lastRow="0" w:firstColumn="1" w:lastColumn="0" w:noHBand="0" w:noVBand="1"/>
      </w:tblPr>
      <w:tblGrid>
        <w:gridCol w:w="9762"/>
        <w:gridCol w:w="1705"/>
        <w:gridCol w:w="1493"/>
      </w:tblGrid>
      <w:tr w:rsidR="001C7CCE" w:rsidRPr="00EA5BE0" w14:paraId="62D471FD" w14:textId="77777777" w:rsidTr="002850A3">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10170" w:type="dxa"/>
            <w:vAlign w:val="bottom"/>
            <w:hideMark/>
          </w:tcPr>
          <w:p w14:paraId="6A5121DE" w14:textId="77777777" w:rsidR="001C7CCE" w:rsidRPr="00EA5BE0" w:rsidRDefault="001C7CCE" w:rsidP="00B53D82">
            <w:pPr>
              <w:pStyle w:val="TableHeaderLeft"/>
              <w:rPr>
                <w:b w:val="0"/>
              </w:rPr>
            </w:pPr>
            <w:r w:rsidRPr="00EA5BE0">
              <w:t>Verbatim Guideline</w:t>
            </w:r>
          </w:p>
        </w:tc>
        <w:tc>
          <w:tcPr>
            <w:tcW w:w="1710" w:type="dxa"/>
            <w:vAlign w:val="bottom"/>
            <w:hideMark/>
          </w:tcPr>
          <w:p w14:paraId="458D1EEF" w14:textId="77777777" w:rsidR="001C7CCE" w:rsidRPr="00EA5BE0" w:rsidRDefault="001C7CCE" w:rsidP="00B53D82">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525" w:type="dxa"/>
            <w:vAlign w:val="bottom"/>
            <w:hideMark/>
          </w:tcPr>
          <w:p w14:paraId="51E89622" w14:textId="77777777" w:rsidR="001C7CCE" w:rsidRPr="00EA5BE0" w:rsidRDefault="001C7CCE" w:rsidP="00B53D82">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D30E86" w:rsidRPr="00EA5BE0" w14:paraId="10775FE2"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shd w:val="clear" w:color="auto" w:fill="0B2949" w:themeFill="accent1"/>
          </w:tcPr>
          <w:p w14:paraId="76235A52" w14:textId="6C342CC0" w:rsidR="00D30E86" w:rsidRPr="006F4286" w:rsidRDefault="000D4E34" w:rsidP="00370E20">
            <w:pPr>
              <w:pStyle w:val="TableRowHead"/>
              <w:rPr>
                <w:color w:val="000000"/>
              </w:rPr>
            </w:pPr>
            <w:r>
              <w:t>Initial Management</w:t>
            </w:r>
          </w:p>
        </w:tc>
        <w:tc>
          <w:tcPr>
            <w:tcW w:w="1710" w:type="dxa"/>
            <w:shd w:val="clear" w:color="auto" w:fill="0B2949" w:themeFill="accent1"/>
          </w:tcPr>
          <w:p w14:paraId="454CE177" w14:textId="77777777" w:rsidR="00D30E86" w:rsidRDefault="00D30E86" w:rsidP="00370E20">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525" w:type="dxa"/>
            <w:shd w:val="clear" w:color="auto" w:fill="0B2949" w:themeFill="accent1"/>
          </w:tcPr>
          <w:p w14:paraId="31727ECE" w14:textId="77777777" w:rsidR="00D30E86" w:rsidRDefault="00D30E86" w:rsidP="00370E20">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0D4E34" w:rsidRPr="00EA5BE0" w14:paraId="40AF1D01"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68845037" w14:textId="65FEB30A" w:rsidR="000D4E34" w:rsidRPr="006F4286" w:rsidRDefault="000D4E34" w:rsidP="00B53D82">
            <w:pPr>
              <w:pStyle w:val="TableTextLeft"/>
            </w:pPr>
            <w:r w:rsidRPr="006F4286">
              <w:t xml:space="preserve">1. In patients with acute isolated distal DVT of the leg: and (i) without severe symptoms or risk factors for extension, we suggest serial imaging of the deep veins for 2 weeks over anticoagulation or </w:t>
            </w:r>
          </w:p>
        </w:tc>
        <w:tc>
          <w:tcPr>
            <w:tcW w:w="1710" w:type="dxa"/>
          </w:tcPr>
          <w:p w14:paraId="37064052" w14:textId="7DEEE2DD" w:rsidR="000D4E34" w:rsidRDefault="000D4E34"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05DE6AAD" w14:textId="5082265B" w:rsidR="000D4E34" w:rsidRDefault="000D4E34"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4F4CA0" w:rsidRPr="00EA5BE0" w14:paraId="4D20D0B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hideMark/>
          </w:tcPr>
          <w:p w14:paraId="4F84396C" w14:textId="55A3CD59" w:rsidR="004F4CA0" w:rsidRPr="00EA5BE0" w:rsidRDefault="000D4E34" w:rsidP="00B53D82">
            <w:pPr>
              <w:pStyle w:val="TableTextLeft"/>
            </w:pPr>
            <w:r w:rsidRPr="006F4286">
              <w:t>(ii) with severe symptoms or risk factors for extension, we suggest anticoagulation over serial imaging of the deep veins.</w:t>
            </w:r>
          </w:p>
        </w:tc>
        <w:tc>
          <w:tcPr>
            <w:tcW w:w="1710" w:type="dxa"/>
            <w:hideMark/>
          </w:tcPr>
          <w:p w14:paraId="1E9BCE8F" w14:textId="39280FC8" w:rsidR="00847C73" w:rsidRPr="00EA5BE0" w:rsidRDefault="00847C73"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hideMark/>
          </w:tcPr>
          <w:p w14:paraId="5A50141F" w14:textId="266C36F8" w:rsidR="00847C73" w:rsidRPr="00EA5BE0" w:rsidRDefault="00847C73"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D57DED" w:rsidRPr="00EA5BE0" w14:paraId="3AD0AA0F"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642CC803" w14:textId="47FBDEDA" w:rsidR="00D57DED" w:rsidRDefault="00D57DED" w:rsidP="00B53D82">
            <w:pPr>
              <w:pStyle w:val="TableTextLeft"/>
            </w:pPr>
            <w:r>
              <w:t xml:space="preserve">2. </w:t>
            </w:r>
            <w:r w:rsidRPr="002C4C7B">
              <w:t>In patients with acute isolated distal DVT of the leg who are treated with serial imaging, we (i) recommend no anticoagulation if the thrombus does not extend</w:t>
            </w:r>
            <w:r>
              <w:t>,</w:t>
            </w:r>
          </w:p>
        </w:tc>
        <w:tc>
          <w:tcPr>
            <w:tcW w:w="1710" w:type="dxa"/>
          </w:tcPr>
          <w:p w14:paraId="250219B8" w14:textId="15D60498" w:rsidR="00D57DED" w:rsidRDefault="00D57DED"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525" w:type="dxa"/>
          </w:tcPr>
          <w:p w14:paraId="5CA180A2" w14:textId="4E7AF19E" w:rsidR="00D57DED" w:rsidRDefault="00D57DED"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D57DED" w:rsidRPr="00EA5BE0" w14:paraId="3A17E983"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339CC37C" w14:textId="7204C587" w:rsidR="00D57DED" w:rsidRDefault="00D57DED" w:rsidP="00B53D82">
            <w:pPr>
              <w:pStyle w:val="TableTextLeft"/>
            </w:pPr>
            <w:r w:rsidRPr="002C4C7B">
              <w:t>(ii) suggest anticoagulation if the thrombus extends but remains confined to the distal veins,</w:t>
            </w:r>
          </w:p>
        </w:tc>
        <w:tc>
          <w:tcPr>
            <w:tcW w:w="1710" w:type="dxa"/>
          </w:tcPr>
          <w:p w14:paraId="2004443D" w14:textId="316B1714" w:rsidR="00D57DED" w:rsidRDefault="00D57DED"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5EBAA9FB" w14:textId="7461251E" w:rsidR="00D57DED" w:rsidRDefault="00D57DED"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D57DED" w:rsidRPr="00EA5BE0" w14:paraId="46179C04"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377501B4" w14:textId="0DACED8E" w:rsidR="00D57DED" w:rsidRPr="002C4C7B" w:rsidRDefault="00D57DED" w:rsidP="00B53D82">
            <w:pPr>
              <w:pStyle w:val="TableTextLeft"/>
            </w:pPr>
            <w:r w:rsidRPr="002C4C7B">
              <w:t>(iii) recommend anticoagulation if the thrombus extends into the proximal veins</w:t>
            </w:r>
            <w:r>
              <w:t>.</w:t>
            </w:r>
          </w:p>
        </w:tc>
        <w:tc>
          <w:tcPr>
            <w:tcW w:w="1710" w:type="dxa"/>
          </w:tcPr>
          <w:p w14:paraId="1ECF1A6E" w14:textId="2EDAE09E" w:rsidR="00D57DED" w:rsidRDefault="00D57DED"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525" w:type="dxa"/>
          </w:tcPr>
          <w:p w14:paraId="0A359EBE" w14:textId="6D3C6E55" w:rsidR="00D57DED" w:rsidRDefault="00D57DED"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4CDE59C7"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686BA151" w14:textId="40C6FB05" w:rsidR="00654B71" w:rsidRPr="002C4C7B" w:rsidRDefault="00654B71" w:rsidP="00B53D82">
            <w:pPr>
              <w:pStyle w:val="TableTextLeft"/>
            </w:pPr>
            <w:r>
              <w:t xml:space="preserve">3. </w:t>
            </w:r>
            <w:r w:rsidRPr="005C3FFF">
              <w:t>In patients with subsegmental pulmonary embolism (PE) (no involvement of more proximal pulmonary arteries) and no proximal DVT in the legs who have a (i) low risk for recurrent VTE, we suggest clinical surveillance over anticoagulation or</w:t>
            </w:r>
            <w:r w:rsidRPr="0049783D">
              <w:rPr>
                <w:bCs/>
              </w:rPr>
              <w:t> </w:t>
            </w:r>
          </w:p>
        </w:tc>
        <w:tc>
          <w:tcPr>
            <w:tcW w:w="1710" w:type="dxa"/>
          </w:tcPr>
          <w:p w14:paraId="041894A5" w14:textId="103C39E0" w:rsidR="00654B71"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3E0B26DA" w14:textId="18DBDB52" w:rsidR="00654B71"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57D58E65"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19897649" w14:textId="14C07B18" w:rsidR="00654B71" w:rsidRPr="00691425" w:rsidRDefault="00654B71" w:rsidP="00B53D82">
            <w:pPr>
              <w:pStyle w:val="TableTextLeft"/>
            </w:pPr>
            <w:r w:rsidRPr="0049783D">
              <w:t xml:space="preserve">(ii) high risk for recurrent </w:t>
            </w:r>
            <w:proofErr w:type="gramStart"/>
            <w:r w:rsidRPr="0049783D">
              <w:t>VTE ,</w:t>
            </w:r>
            <w:proofErr w:type="gramEnd"/>
            <w:r w:rsidRPr="0049783D">
              <w:t xml:space="preserve"> we suggest anticoagulation over clinical surveillance</w:t>
            </w:r>
            <w:r>
              <w:t>.</w:t>
            </w:r>
          </w:p>
        </w:tc>
        <w:tc>
          <w:tcPr>
            <w:tcW w:w="1710" w:type="dxa"/>
          </w:tcPr>
          <w:p w14:paraId="498B9866" w14:textId="767A033E" w:rsidR="00654B71"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0B625EA5" w14:textId="67A8B135" w:rsidR="00654B71"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4A2C5DA1"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hideMark/>
          </w:tcPr>
          <w:p w14:paraId="43EE06EC" w14:textId="09403ED8" w:rsidR="00654B71" w:rsidRPr="00691425" w:rsidRDefault="00654B71" w:rsidP="00B53D82">
            <w:pPr>
              <w:pStyle w:val="TableTextLeft"/>
            </w:pPr>
            <w:r w:rsidRPr="00691425">
              <w:t>4. In patients who are incidentally found to have asymptomatic PE, we suggest the same initiation and treatment phase anticoagulation as for comparable patients with symptomatic PE.</w:t>
            </w:r>
          </w:p>
        </w:tc>
        <w:tc>
          <w:tcPr>
            <w:tcW w:w="1710" w:type="dxa"/>
            <w:hideMark/>
          </w:tcPr>
          <w:p w14:paraId="1D8C5C6F" w14:textId="25CCE4D7"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hideMark/>
          </w:tcPr>
          <w:p w14:paraId="2CC2D9DA" w14:textId="23D7FF4B"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14C3E6AF"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74401DE6" w14:textId="3FA516E2" w:rsidR="00654B71" w:rsidRPr="002205EE" w:rsidRDefault="00654B71" w:rsidP="00B53D82">
            <w:pPr>
              <w:pStyle w:val="TableTextLeft"/>
            </w:pPr>
            <w:r w:rsidRPr="002205EE">
              <w:t>5. In patients with cerebral vein/venous sinus thrombosis, we recommend anticoagulation therapy for at least the treatment phase (first 3 months) over no anticoagulant therapy.</w:t>
            </w:r>
          </w:p>
        </w:tc>
        <w:tc>
          <w:tcPr>
            <w:tcW w:w="1710" w:type="dxa"/>
          </w:tcPr>
          <w:p w14:paraId="5AC7F092" w14:textId="15A43721"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525" w:type="dxa"/>
          </w:tcPr>
          <w:p w14:paraId="43650028" w14:textId="0707FE78"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75A6DCB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3A758D7C" w14:textId="346E0D90" w:rsidR="00654B71" w:rsidRPr="00EA5BE0" w:rsidRDefault="00654B71" w:rsidP="00B53D82">
            <w:pPr>
              <w:pStyle w:val="TableTextLeft"/>
            </w:pPr>
            <w:r>
              <w:t xml:space="preserve">6. </w:t>
            </w:r>
            <w:r w:rsidRPr="000A75D1">
              <w:t>In patients with acute DVT of the leg we suggest anticoagulant therapy alone over interventional (thrombolytic, mechanical, or pharmacomechanical) therapy</w:t>
            </w:r>
            <w:r>
              <w:t>.</w:t>
            </w:r>
          </w:p>
        </w:tc>
        <w:tc>
          <w:tcPr>
            <w:tcW w:w="1710" w:type="dxa"/>
          </w:tcPr>
          <w:p w14:paraId="4AC19394" w14:textId="3A805795"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7F47842E" w14:textId="34A6F268"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17FB7DD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1D6EF43D" w14:textId="2129509C" w:rsidR="00654B71" w:rsidRPr="00EA5BE0" w:rsidRDefault="00654B71" w:rsidP="00B53D82">
            <w:pPr>
              <w:pStyle w:val="TableTextLeft"/>
            </w:pPr>
            <w:r>
              <w:t xml:space="preserve">7. </w:t>
            </w:r>
            <w:r w:rsidRPr="00DD4856">
              <w:t>In patients with acute PE associated with hypotension (</w:t>
            </w:r>
            <w:proofErr w:type="gramStart"/>
            <w:r w:rsidRPr="00DD4856">
              <w:t>e</w:t>
            </w:r>
            <w:r>
              <w:t>.</w:t>
            </w:r>
            <w:r w:rsidRPr="00DD4856">
              <w:t>g</w:t>
            </w:r>
            <w:r>
              <w:t>.,</w:t>
            </w:r>
            <w:r w:rsidRPr="00DD4856">
              <w:t>,</w:t>
            </w:r>
            <w:proofErr w:type="gramEnd"/>
            <w:r w:rsidRPr="00DD4856">
              <w:t xml:space="preserve"> systolic BP &lt; 90 mm Hg) who do not have a high bleeding risk, we suggest systemically administered thrombolytic therapy over no such therapy.</w:t>
            </w:r>
          </w:p>
        </w:tc>
        <w:tc>
          <w:tcPr>
            <w:tcW w:w="1710" w:type="dxa"/>
          </w:tcPr>
          <w:p w14:paraId="449C76D7" w14:textId="17676401"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4187F62A" w14:textId="7C159414"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5E0E816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2617F0CF" w14:textId="6D16B8A6" w:rsidR="00654B71" w:rsidRPr="008209E5" w:rsidRDefault="00654B71" w:rsidP="00B53D82">
            <w:pPr>
              <w:pStyle w:val="TableTextLeft"/>
            </w:pPr>
            <w:r w:rsidRPr="008209E5">
              <w:t>8. In most patients with acute PE not associated with hypotension, we recommend against systemically administered thrombolytic therapy.</w:t>
            </w:r>
          </w:p>
        </w:tc>
        <w:tc>
          <w:tcPr>
            <w:tcW w:w="1710" w:type="dxa"/>
          </w:tcPr>
          <w:p w14:paraId="7F7DFC27" w14:textId="542E781A"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525" w:type="dxa"/>
          </w:tcPr>
          <w:p w14:paraId="1F3F64E6" w14:textId="0251AD3E"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0D123EBC"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6780452C" w14:textId="11F0B833" w:rsidR="00654B71" w:rsidRPr="00E13DBE" w:rsidRDefault="00654B71" w:rsidP="00B53D82">
            <w:pPr>
              <w:pStyle w:val="TableTextLeft"/>
            </w:pPr>
            <w:r w:rsidRPr="00E13DBE">
              <w:t>9. In selected patients with acute PE who deteriorate after starting anticoagulant therapy but have yet to develop hypotension and who have an acceptable bleeding risk, we suggest systemically administered thrombolytic therapy over no such therapy.</w:t>
            </w:r>
          </w:p>
        </w:tc>
        <w:tc>
          <w:tcPr>
            <w:tcW w:w="1710" w:type="dxa"/>
          </w:tcPr>
          <w:p w14:paraId="3EEA861F" w14:textId="0B237314"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462824A2" w14:textId="56170B6C"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1E3545A6"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0FFD6AA5" w14:textId="23777C74" w:rsidR="00654B71" w:rsidRPr="007D395D" w:rsidRDefault="00654B71" w:rsidP="00B53D82">
            <w:pPr>
              <w:pStyle w:val="TableTextLeft"/>
            </w:pPr>
            <w:r w:rsidRPr="007D395D">
              <w:t>10. In patients with acute PE who are treated with a thrombolytic agent, we suggest systemic thrombolytic therapy using a peripheral vein over catheter-directed thrombolysis (CDT).</w:t>
            </w:r>
          </w:p>
        </w:tc>
        <w:tc>
          <w:tcPr>
            <w:tcW w:w="1710" w:type="dxa"/>
          </w:tcPr>
          <w:p w14:paraId="07F10633" w14:textId="3B15388C"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4487863A" w14:textId="31F5B00A"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041F6886"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7CBDBE54" w14:textId="0E3225A0" w:rsidR="00654B71" w:rsidRPr="00335DBA" w:rsidRDefault="00654B71" w:rsidP="00B53D82">
            <w:pPr>
              <w:pStyle w:val="TableTextLeft"/>
            </w:pPr>
            <w:r w:rsidRPr="00335DBA">
              <w:t>11. In patients with acute PE associated with hypotension who also have (i) a high bleeding risk, (ii) failed systemic thrombolysis, or (iii) shock that is likely to cause death before systemic thrombolysis can take effect (e</w:t>
            </w:r>
            <w:r>
              <w:t>.</w:t>
            </w:r>
            <w:r w:rsidRPr="00335DBA">
              <w:t>g</w:t>
            </w:r>
            <w:r>
              <w:t>.</w:t>
            </w:r>
            <w:r w:rsidRPr="00335DBA">
              <w:t>, within hours), if appropriate expertise and resources are available, we suggest catheter-assisted thrombus removal over no such intervention.</w:t>
            </w:r>
          </w:p>
        </w:tc>
        <w:tc>
          <w:tcPr>
            <w:tcW w:w="1710" w:type="dxa"/>
          </w:tcPr>
          <w:p w14:paraId="163B923B" w14:textId="470B1681"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0665A2B3" w14:textId="3255CB60"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4BA0037F"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43F998B3" w14:textId="64F6AB31" w:rsidR="00654B71" w:rsidRPr="00EA5BE0" w:rsidRDefault="00654B71" w:rsidP="00B53D82">
            <w:pPr>
              <w:pStyle w:val="TableTextLeft"/>
            </w:pPr>
            <w:r w:rsidRPr="00482B26">
              <w:lastRenderedPageBreak/>
              <w:t>12. In patients with acute DVT of the leg, we recommend against the use of an IVC filter in addition to anticoagulants</w:t>
            </w:r>
            <w:r>
              <w:t>.</w:t>
            </w:r>
          </w:p>
        </w:tc>
        <w:tc>
          <w:tcPr>
            <w:tcW w:w="1710" w:type="dxa"/>
          </w:tcPr>
          <w:p w14:paraId="5963D175" w14:textId="4D700463"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 xml:space="preserve">Strong </w:t>
            </w:r>
          </w:p>
        </w:tc>
        <w:tc>
          <w:tcPr>
            <w:tcW w:w="1525" w:type="dxa"/>
          </w:tcPr>
          <w:p w14:paraId="65676BD0" w14:textId="52FAA11E"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0131BF2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2A70F04C" w14:textId="30B0AA23" w:rsidR="00654B71" w:rsidRPr="0039641D" w:rsidRDefault="00654B71" w:rsidP="00B53D82">
            <w:pPr>
              <w:pStyle w:val="TableTextLeft"/>
            </w:pPr>
            <w:r w:rsidRPr="0039641D">
              <w:t>13. In patients with acute proximal DVT of the leg and a contraindication to anticoagulation, we recommend the use of an IVC filter.</w:t>
            </w:r>
          </w:p>
        </w:tc>
        <w:tc>
          <w:tcPr>
            <w:tcW w:w="1710" w:type="dxa"/>
          </w:tcPr>
          <w:p w14:paraId="49BF5625" w14:textId="44C800FE"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525" w:type="dxa"/>
          </w:tcPr>
          <w:p w14:paraId="4C58AEAB" w14:textId="4BFB87AB"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64B66499"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6C7FC7C9" w14:textId="59414812" w:rsidR="00654B71" w:rsidRPr="0089630F" w:rsidRDefault="00654B71" w:rsidP="00B53D82">
            <w:pPr>
              <w:pStyle w:val="TableTextLeft"/>
            </w:pPr>
            <w:r w:rsidRPr="0089630F">
              <w:t>14. In patients with low-risk PE we recommend outpatient treatment over hospitalization provided access to medications, ability to access outpatient care, and home circumstances are adequate.</w:t>
            </w:r>
          </w:p>
        </w:tc>
        <w:tc>
          <w:tcPr>
            <w:tcW w:w="1710" w:type="dxa"/>
          </w:tcPr>
          <w:p w14:paraId="7D204AD3" w14:textId="78B78CDE"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525" w:type="dxa"/>
          </w:tcPr>
          <w:p w14:paraId="5AE3801B" w14:textId="1D820BF8"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77174E0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443E24CA" w14:textId="6DF1A3DA" w:rsidR="00654B71" w:rsidRPr="00EA5BE0" w:rsidRDefault="00654B71" w:rsidP="00B53D82">
            <w:pPr>
              <w:pStyle w:val="TableTextLeft"/>
            </w:pPr>
            <w:r w:rsidRPr="00A3286B">
              <w:t>15. In patients with VTE (DVT of the leg or PE) we recommend apixaban, dabigatran, edoxaban, or rivaroxaban over VKA as treatment-phase (first 3 months) anticoagulant therapy</w:t>
            </w:r>
            <w:r>
              <w:t>.</w:t>
            </w:r>
          </w:p>
        </w:tc>
        <w:tc>
          <w:tcPr>
            <w:tcW w:w="1710" w:type="dxa"/>
          </w:tcPr>
          <w:p w14:paraId="1F161FBE" w14:textId="178B06BE"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525" w:type="dxa"/>
          </w:tcPr>
          <w:p w14:paraId="2ECC8501" w14:textId="13EC32C8"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462630A7"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541A4EFE" w14:textId="0A01DD8F" w:rsidR="00654B71" w:rsidRPr="00EA5BE0" w:rsidRDefault="00654B71" w:rsidP="00B53D82">
            <w:pPr>
              <w:pStyle w:val="TableTextLeft"/>
            </w:pPr>
            <w:r>
              <w:t xml:space="preserve">16. </w:t>
            </w:r>
            <w:r w:rsidRPr="00E559CE">
              <w:t>In patients with acute VTE in the setting of cancer (cancer-associated thrombosis) we recommend an oral Xa inhibitor (apixaban, edoxaban, rivaroxaban) over LMWH for the initiation and treatment phases of therapy.</w:t>
            </w:r>
          </w:p>
        </w:tc>
        <w:tc>
          <w:tcPr>
            <w:tcW w:w="1710" w:type="dxa"/>
          </w:tcPr>
          <w:p w14:paraId="1055534C" w14:textId="3B0817E0"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525" w:type="dxa"/>
          </w:tcPr>
          <w:p w14:paraId="3469491A" w14:textId="7C936449"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741C4EE1"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553CD484" w14:textId="3F1CDD53" w:rsidR="00654B71" w:rsidRPr="00E96AAE" w:rsidRDefault="00654B71" w:rsidP="00B53D82">
            <w:pPr>
              <w:pStyle w:val="TableTextLeft"/>
            </w:pPr>
            <w:r w:rsidRPr="00E96AAE">
              <w:t>17. In patients with confirmed antiphospholipid syndrome being treated with anticoagulant therapy, we suggest adjusted dose VKA (target INR 2.5) over direct oral anticoagulant (DOAC) therapy during the treatment phase.</w:t>
            </w:r>
          </w:p>
        </w:tc>
        <w:tc>
          <w:tcPr>
            <w:tcW w:w="1710" w:type="dxa"/>
          </w:tcPr>
          <w:p w14:paraId="19B1BB4D" w14:textId="33C8AB2C"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526B294D" w14:textId="2FEA86F2"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4B4DB013"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0D4D2FA6" w14:textId="1149295F" w:rsidR="00654B71" w:rsidRPr="001035D4" w:rsidRDefault="00654B71" w:rsidP="00B53D82">
            <w:pPr>
              <w:pStyle w:val="TableTextLeft"/>
            </w:pPr>
            <w:r w:rsidRPr="001035D4">
              <w:t>18. In patients with superficial venous thrombosis (SVT) of the lower limb at increased risk of clot progression to DVT or PE, we suggest the use of anticoagulation for 45 days over no anticoagulation.</w:t>
            </w:r>
          </w:p>
        </w:tc>
        <w:tc>
          <w:tcPr>
            <w:tcW w:w="1710" w:type="dxa"/>
          </w:tcPr>
          <w:p w14:paraId="65299FCF" w14:textId="6274646B"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08E4C45C" w14:textId="62F30EBC"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0971AAC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125C4D28" w14:textId="0847A00D" w:rsidR="00654B71" w:rsidRPr="00EA5BE0" w:rsidRDefault="00654B71" w:rsidP="00B53D82">
            <w:pPr>
              <w:pStyle w:val="TableTextLeft"/>
            </w:pPr>
            <w:r>
              <w:t xml:space="preserve">19. </w:t>
            </w:r>
            <w:r w:rsidRPr="005715A7">
              <w:t>In patients with SVT who are treated with anticoagulation, we suggest fondaparinux 2.5 mg daily over other anticoagulant treatment regimens such as (prophylactic or therapeutic dose) LMWH.</w:t>
            </w:r>
          </w:p>
        </w:tc>
        <w:tc>
          <w:tcPr>
            <w:tcW w:w="1710" w:type="dxa"/>
          </w:tcPr>
          <w:p w14:paraId="7A08BEA3" w14:textId="10684169"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3C865B84" w14:textId="54C3248E"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7AE349C3"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1E8D2FB7" w14:textId="43203E49" w:rsidR="00654B71" w:rsidRPr="00BF3EB4" w:rsidRDefault="00654B71" w:rsidP="00B53D82">
            <w:pPr>
              <w:pStyle w:val="TableTextLeft"/>
            </w:pPr>
            <w:r w:rsidRPr="00BF3EB4">
              <w:t>20. In patients with SVT who refuse or are unable to use parenteral anticoagulation, we suggest rivaroxaban 10 mg daily as a reasonable alternative for fondaparinux 2.5 mg daily.</w:t>
            </w:r>
          </w:p>
        </w:tc>
        <w:tc>
          <w:tcPr>
            <w:tcW w:w="1710" w:type="dxa"/>
          </w:tcPr>
          <w:p w14:paraId="296C4936" w14:textId="2B83FE1C"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3A416C44" w14:textId="54B65BFB"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6CA93FC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shd w:val="clear" w:color="auto" w:fill="0B2949" w:themeFill="accent1"/>
          </w:tcPr>
          <w:p w14:paraId="351A2C29" w14:textId="2706BBE1" w:rsidR="00654B71" w:rsidRPr="0027747A" w:rsidRDefault="00327F32" w:rsidP="00370E20">
            <w:pPr>
              <w:pStyle w:val="TableRowHead"/>
              <w:rPr>
                <w:color w:val="000000"/>
              </w:rPr>
            </w:pPr>
            <w:r>
              <w:t xml:space="preserve">Duration of Treatment Phase of Anticoagulation </w:t>
            </w:r>
          </w:p>
        </w:tc>
        <w:tc>
          <w:tcPr>
            <w:tcW w:w="1710" w:type="dxa"/>
            <w:shd w:val="clear" w:color="auto" w:fill="0B2949" w:themeFill="accent1"/>
          </w:tcPr>
          <w:p w14:paraId="481CF9D6" w14:textId="77777777" w:rsidR="00654B71" w:rsidRDefault="00654B71" w:rsidP="00370E20">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525" w:type="dxa"/>
            <w:shd w:val="clear" w:color="auto" w:fill="0B2949" w:themeFill="accent1"/>
          </w:tcPr>
          <w:p w14:paraId="1AA95186" w14:textId="77777777" w:rsidR="00654B71" w:rsidRDefault="00654B71" w:rsidP="00370E20">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654B71" w:rsidRPr="00EA5BE0" w14:paraId="75F9DA02"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61CF2EA1" w14:textId="37F67033" w:rsidR="00654B71" w:rsidRPr="0027747A" w:rsidRDefault="00654B71" w:rsidP="00B53D82">
            <w:pPr>
              <w:pStyle w:val="TableTextLeft"/>
            </w:pPr>
            <w:r w:rsidRPr="0027747A">
              <w:t xml:space="preserve">21. In patients with acute VTE who </w:t>
            </w:r>
            <w:proofErr w:type="gramStart"/>
            <w:r w:rsidRPr="0027747A">
              <w:t>do not have a contraindication</w:t>
            </w:r>
            <w:proofErr w:type="gramEnd"/>
            <w:r w:rsidRPr="0027747A">
              <w:t xml:space="preserve"> we recommend a 3-month treatment phase of anticoagulation.</w:t>
            </w:r>
          </w:p>
        </w:tc>
        <w:tc>
          <w:tcPr>
            <w:tcW w:w="1710" w:type="dxa"/>
          </w:tcPr>
          <w:p w14:paraId="643CCAED" w14:textId="1CAB3A6C"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525" w:type="dxa"/>
          </w:tcPr>
          <w:p w14:paraId="0B41CA48" w14:textId="77FDD6F2"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19EACCC5"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shd w:val="clear" w:color="auto" w:fill="0B2949" w:themeFill="accent1"/>
          </w:tcPr>
          <w:p w14:paraId="111342C1" w14:textId="1E69F4F0" w:rsidR="00654B71" w:rsidRPr="00D56FD7" w:rsidRDefault="00327F32" w:rsidP="00370E20">
            <w:pPr>
              <w:pStyle w:val="TableRowHead"/>
              <w:rPr>
                <w:color w:val="000000"/>
              </w:rPr>
            </w:pPr>
            <w:r>
              <w:t>Extended-Phase Therapy</w:t>
            </w:r>
          </w:p>
        </w:tc>
        <w:tc>
          <w:tcPr>
            <w:tcW w:w="1710" w:type="dxa"/>
            <w:shd w:val="clear" w:color="auto" w:fill="0B2949" w:themeFill="accent1"/>
          </w:tcPr>
          <w:p w14:paraId="2AF4A7C1" w14:textId="77777777" w:rsidR="00654B71" w:rsidRDefault="00654B71" w:rsidP="00370E20">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525" w:type="dxa"/>
            <w:shd w:val="clear" w:color="auto" w:fill="0B2949" w:themeFill="accent1"/>
          </w:tcPr>
          <w:p w14:paraId="06D44F17" w14:textId="77777777" w:rsidR="00654B71" w:rsidRDefault="00654B71" w:rsidP="00370E20">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654B71" w:rsidRPr="00EA5BE0" w14:paraId="69EBDA16"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7E757066" w14:textId="708C9F13" w:rsidR="00654B71" w:rsidRPr="00D56FD7" w:rsidRDefault="00654B71" w:rsidP="00B53D82">
            <w:pPr>
              <w:pStyle w:val="TableTextLeft"/>
            </w:pPr>
            <w:r w:rsidRPr="00D56FD7">
              <w:t>22. In patients with VTE diagnosed in the setting of a major transient risk facto</w:t>
            </w:r>
            <w:r>
              <w:t>r</w:t>
            </w:r>
            <w:r w:rsidRPr="00D56FD7">
              <w:t>, we recommend against offering extended-phase anticoagulation.</w:t>
            </w:r>
          </w:p>
        </w:tc>
        <w:tc>
          <w:tcPr>
            <w:tcW w:w="1710" w:type="dxa"/>
          </w:tcPr>
          <w:p w14:paraId="7A65E5D9" w14:textId="5A7F5B66"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525" w:type="dxa"/>
          </w:tcPr>
          <w:p w14:paraId="322FAC25" w14:textId="4F9ED32E"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123A6F0F"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181A653F" w14:textId="35E35998" w:rsidR="00654B71" w:rsidRPr="00EA5BE0" w:rsidRDefault="00654B71" w:rsidP="00B53D82">
            <w:pPr>
              <w:pStyle w:val="TableTextLeft"/>
            </w:pPr>
            <w:r w:rsidRPr="003935FF">
              <w:t>23. In patients with VTE diagnosed in the setting of a minor transient risk factor, we suggest against offering extended-phase anticoagulation</w:t>
            </w:r>
            <w:r>
              <w:t>.</w:t>
            </w:r>
          </w:p>
        </w:tc>
        <w:tc>
          <w:tcPr>
            <w:tcW w:w="1710" w:type="dxa"/>
          </w:tcPr>
          <w:p w14:paraId="47AAE0E7" w14:textId="5C914864"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0182CE8C" w14:textId="1B091FA2"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17E3F445"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66C34DA4" w14:textId="25596181" w:rsidR="00654B71" w:rsidRPr="002F0E2D" w:rsidRDefault="00654B71" w:rsidP="00B53D82">
            <w:pPr>
              <w:pStyle w:val="TableTextLeft"/>
            </w:pPr>
            <w:r w:rsidRPr="002F0E2D">
              <w:t>24. In patients with VTE diagnosed in the absence of transient provocation (unprovoked VTE or provoked by persistent risk factor), we recommend offering extended-phase anticoagulation with a DOAC.</w:t>
            </w:r>
          </w:p>
        </w:tc>
        <w:tc>
          <w:tcPr>
            <w:tcW w:w="1710" w:type="dxa"/>
          </w:tcPr>
          <w:p w14:paraId="6D8684F3" w14:textId="643BB133"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525" w:type="dxa"/>
          </w:tcPr>
          <w:p w14:paraId="5CA743E1" w14:textId="6875B9C6"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1A7BF918"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1F1EB344" w14:textId="2F0AFD35" w:rsidR="00654B71" w:rsidRPr="00EA5BE0" w:rsidRDefault="00654B71" w:rsidP="00B53D82">
            <w:pPr>
              <w:pStyle w:val="TableTextLeft"/>
            </w:pPr>
            <w:r w:rsidRPr="005F2117">
              <w:t>25. In patients with VTE diagnosed in the absence of transient risk factor (unprovoked VTE or provoked by a persistent risk factor) who cannot receive a DOAC, we suggest offering extended-phase anticoagulation with a VKA</w:t>
            </w:r>
            <w:r>
              <w:t>.</w:t>
            </w:r>
          </w:p>
        </w:tc>
        <w:tc>
          <w:tcPr>
            <w:tcW w:w="1710" w:type="dxa"/>
          </w:tcPr>
          <w:p w14:paraId="77CFF404" w14:textId="1AEE35CE"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7FD1461E" w14:textId="19DD4A8A"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63F9423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210FBB81" w14:textId="15C8A78E" w:rsidR="00654B71" w:rsidRPr="005E2C3B" w:rsidRDefault="00654B71" w:rsidP="00B53D82">
            <w:pPr>
              <w:pStyle w:val="TableTextLeft"/>
            </w:pPr>
            <w:r w:rsidRPr="005E2C3B">
              <w:t>26. In patients offered extended-phase anticoagulation, we suggest the use of reduced-dose apixaban or rivaroxaban over full-dose apixaban or rivaroxaban.</w:t>
            </w:r>
          </w:p>
        </w:tc>
        <w:tc>
          <w:tcPr>
            <w:tcW w:w="1710" w:type="dxa"/>
          </w:tcPr>
          <w:p w14:paraId="7398F6A9" w14:textId="3575D3A4"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4E3BB771" w14:textId="0DAE34C8"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Very Low</w:t>
            </w:r>
          </w:p>
        </w:tc>
      </w:tr>
      <w:tr w:rsidR="00654B71" w:rsidRPr="00EA5BE0" w14:paraId="45D5D5A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6C6F1658" w14:textId="24A85546" w:rsidR="00654B71" w:rsidRPr="004F335E" w:rsidRDefault="00654B71" w:rsidP="00B53D82">
            <w:pPr>
              <w:pStyle w:val="TableTextLeft"/>
            </w:pPr>
            <w:r w:rsidRPr="004F335E">
              <w:lastRenderedPageBreak/>
              <w:t>27. In patients offered extended-phase anticoagulation, we recommend reduced-dose DOAC over aspirin or no therapy (strong recommendation, low-certainty evidence) and suggest rivaroxaban over aspirin.</w:t>
            </w:r>
          </w:p>
        </w:tc>
        <w:tc>
          <w:tcPr>
            <w:tcW w:w="1710" w:type="dxa"/>
          </w:tcPr>
          <w:p w14:paraId="7CB9154B" w14:textId="67ED19BC"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6372CAAA" w14:textId="31CC2034"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Moderate</w:t>
            </w:r>
          </w:p>
        </w:tc>
      </w:tr>
      <w:tr w:rsidR="00654B71" w:rsidRPr="00EA5BE0" w14:paraId="0C66318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3772C8E7" w14:textId="3EBFA94D" w:rsidR="00654B71" w:rsidRPr="00D35269" w:rsidRDefault="00654B71" w:rsidP="00B53D82">
            <w:pPr>
              <w:pStyle w:val="TableTextLeft"/>
            </w:pPr>
            <w:r w:rsidRPr="00D35269">
              <w:t>28. In patients with an unprovoked proximal DVT or PE who are stopping anticoagulant therapy and do not have a contraindication to aspirin, we suggest aspirin over no aspirin to prevent recurrent VTE.</w:t>
            </w:r>
          </w:p>
        </w:tc>
        <w:tc>
          <w:tcPr>
            <w:tcW w:w="1710" w:type="dxa"/>
          </w:tcPr>
          <w:p w14:paraId="49922035" w14:textId="482D9ADB"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05EA6660" w14:textId="359475A6"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654B71" w:rsidRPr="00EA5BE0" w14:paraId="224EC50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shd w:val="clear" w:color="auto" w:fill="0B2949" w:themeFill="accent1"/>
          </w:tcPr>
          <w:p w14:paraId="18459530" w14:textId="4E770A3E" w:rsidR="00654B71" w:rsidRPr="0089290B" w:rsidRDefault="00327F32" w:rsidP="00370E20">
            <w:pPr>
              <w:pStyle w:val="TableRowHead"/>
            </w:pPr>
            <w:r w:rsidRPr="00982F4F">
              <w:t>Complications of VTE</w:t>
            </w:r>
          </w:p>
        </w:tc>
        <w:tc>
          <w:tcPr>
            <w:tcW w:w="1710" w:type="dxa"/>
            <w:shd w:val="clear" w:color="auto" w:fill="0B2949" w:themeFill="accent1"/>
          </w:tcPr>
          <w:p w14:paraId="40790A69" w14:textId="77777777" w:rsidR="00654B71" w:rsidRDefault="00654B71" w:rsidP="00370E20">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525" w:type="dxa"/>
            <w:shd w:val="clear" w:color="auto" w:fill="0B2949" w:themeFill="accent1"/>
          </w:tcPr>
          <w:p w14:paraId="7E912BEB" w14:textId="77777777" w:rsidR="00654B71" w:rsidRDefault="00654B71" w:rsidP="00370E20">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654B71" w:rsidRPr="00EA5BE0" w14:paraId="625D9DA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170" w:type="dxa"/>
          </w:tcPr>
          <w:p w14:paraId="0819AAFC" w14:textId="130F35F2" w:rsidR="00654B71" w:rsidRPr="0089290B" w:rsidRDefault="00654B71" w:rsidP="00B53D82">
            <w:pPr>
              <w:pStyle w:val="TableTextLeft"/>
            </w:pPr>
            <w:r w:rsidRPr="0089290B">
              <w:t>29. In patients with acute DVT of the leg, we suggest against using compression stockings routinely to prevent post-thrombotic syndrome (PTS).</w:t>
            </w:r>
          </w:p>
        </w:tc>
        <w:tc>
          <w:tcPr>
            <w:tcW w:w="1710" w:type="dxa"/>
          </w:tcPr>
          <w:p w14:paraId="5BC13846" w14:textId="3D7D3809"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525" w:type="dxa"/>
          </w:tcPr>
          <w:p w14:paraId="1E98AE26" w14:textId="734EE16E" w:rsidR="00654B71" w:rsidRPr="00EA5BE0" w:rsidRDefault="00654B71" w:rsidP="00B53D82">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bl>
    <w:p w14:paraId="74986265" w14:textId="6F8B156A" w:rsidR="00EA5BE0" w:rsidRPr="00BE6C8E" w:rsidRDefault="006E02BE" w:rsidP="00BE6C8E">
      <w:pPr>
        <w:pStyle w:val="H2"/>
      </w:pPr>
      <w:bookmarkStart w:id="14" w:name="_Toc195287984"/>
      <w:r>
        <w:t>4.</w:t>
      </w:r>
      <w:r w:rsidR="002850A3">
        <w:tab/>
      </w:r>
      <w:r w:rsidR="00EA5BE0" w:rsidRPr="00BE6C8E">
        <w:rPr>
          <w:rStyle w:val="H2Char"/>
          <w:b/>
        </w:rPr>
        <w:t>American Society of Hematology: 2019</w:t>
      </w:r>
      <w:bookmarkEnd w:id="13"/>
      <w:bookmarkEnd w:id="14"/>
    </w:p>
    <w:p w14:paraId="1503AF09" w14:textId="77777777" w:rsidR="00EA5BE0" w:rsidRPr="00370E20" w:rsidRDefault="00EA5BE0" w:rsidP="005924F2">
      <w:pPr>
        <w:pStyle w:val="Paragraph"/>
        <w:rPr>
          <w:rStyle w:val="Hyperlink"/>
        </w:rPr>
      </w:pPr>
      <w:hyperlink r:id="rId22">
        <w:r w:rsidRPr="00370E20">
          <w:rPr>
            <w:rStyle w:val="Hyperlink"/>
          </w:rPr>
          <w:t>Anderson, D. R., Morgano, G. P., Bennett, C., Dentali, F., Francis, C. W., Garcia, D. A., … Dahm, P. (2019). American Society of Hematology 2019 guidelines for management of venous thromboembolism: Prevention of venous thromboembolism in surgical hospitalized patients. Blood Advances, 3(23), 3898–3944. https://doi.org/10.1182/bloodadvances.2019000975</w:t>
        </w:r>
      </w:hyperlink>
    </w:p>
    <w:p w14:paraId="495EA6F0" w14:textId="6C0A2214" w:rsidR="00EA5BE0" w:rsidRPr="002D47A1" w:rsidRDefault="00EA5BE0" w:rsidP="005924F2">
      <w:pPr>
        <w:pStyle w:val="Paragraph"/>
      </w:pPr>
      <w:r w:rsidRPr="002D47A1">
        <w:t>The American Society of Hematology</w:t>
      </w:r>
      <w:r w:rsidR="00AD0560">
        <w:t xml:space="preserve"> (ASH)</w:t>
      </w:r>
      <w:r w:rsidRPr="002D47A1">
        <w:t xml:space="preserve"> provides guidance via clinical practice recommendations for the prevention of venous thromboembolism in surgical hospitalized patients. The guideline is based on updated and original systematic reviews of evidence conducted by researchers and developed under the direction of the McMaster University GRADE Centre with international collaborators. The target audience includes patients, surgeons, intensivists, internists, hematologists, general practitioners, hospitalists, other clinicians, pharmacists, and decision makers. The primary target population is patients hospitalized for major surgical procedures that carry a risk for postoperative VTE. The guideline panel’s work was coordinated with nine other guideline panels by ASH and the McMaster GRADE Centre. The panel included surgeons with subspecialty representation, hematologists, internists, and a pharmacist, all of whom had clinical and research expertise on the guideline topic. The panel also included methodologists with expertise in evidence appraisal and guideline development and two patient representatives. </w:t>
      </w:r>
    </w:p>
    <w:p w14:paraId="4F3727A5" w14:textId="1213E240" w:rsidR="00EA5BE0" w:rsidRPr="002D47A1" w:rsidRDefault="00EA5BE0" w:rsidP="005924F2">
      <w:pPr>
        <w:pStyle w:val="Paragraph"/>
      </w:pPr>
      <w:r w:rsidRPr="002D47A1">
        <w:t>The methodology for determining strength of recommendations (</w:t>
      </w:r>
      <w:r w:rsidRPr="002D47A1">
        <w:rPr>
          <w:b/>
          <w:bCs/>
        </w:rPr>
        <w:t xml:space="preserve">Table </w:t>
      </w:r>
      <w:r w:rsidR="006B33D8">
        <w:rPr>
          <w:b/>
          <w:bCs/>
        </w:rPr>
        <w:t>12</w:t>
      </w:r>
      <w:r w:rsidRPr="002D47A1">
        <w:t>) and strength of evidence (</w:t>
      </w:r>
      <w:r w:rsidRPr="002D47A1">
        <w:rPr>
          <w:b/>
          <w:bCs/>
        </w:rPr>
        <w:t>Tables 1</w:t>
      </w:r>
      <w:r w:rsidR="006B33D8">
        <w:rPr>
          <w:b/>
          <w:bCs/>
        </w:rPr>
        <w:t>3</w:t>
      </w:r>
      <w:r w:rsidRPr="002D47A1">
        <w:rPr>
          <w:b/>
          <w:bCs/>
        </w:rPr>
        <w:t xml:space="preserve"> and 1</w:t>
      </w:r>
      <w:r w:rsidR="006B33D8">
        <w:rPr>
          <w:b/>
          <w:bCs/>
        </w:rPr>
        <w:t>4</w:t>
      </w:r>
      <w:r w:rsidRPr="002D47A1">
        <w:t>) is based on the GRADE approach and presented below, followed by key guideline recommendation statements that inform the proposed measure (</w:t>
      </w:r>
      <w:r w:rsidRPr="002D47A1">
        <w:rPr>
          <w:b/>
          <w:bCs/>
        </w:rPr>
        <w:t>Table 1</w:t>
      </w:r>
      <w:r w:rsidR="006B33D8">
        <w:rPr>
          <w:b/>
          <w:bCs/>
        </w:rPr>
        <w:t>5</w:t>
      </w:r>
      <w:r w:rsidRPr="002D47A1">
        <w:rPr>
          <w:b/>
          <w:bCs/>
        </w:rPr>
        <w:t xml:space="preserve">). </w:t>
      </w:r>
    </w:p>
    <w:p w14:paraId="0CDEA5CD" w14:textId="1AFBA491" w:rsidR="00EA5BE0" w:rsidRPr="00EA5BE0" w:rsidRDefault="00EA5BE0" w:rsidP="005924F2">
      <w:pPr>
        <w:pStyle w:val="Paragraph"/>
        <w:rPr>
          <w:rFonts w:ascii="Calibri" w:eastAsia="Calibri" w:hAnsi="Calibri" w:cs="Calibri"/>
          <w:b/>
          <w:bCs/>
          <w:sz w:val="12"/>
          <w:szCs w:val="8"/>
        </w:rPr>
      </w:pPr>
      <w:r w:rsidRPr="002D47A1">
        <w:t>Within each recommendation, the strength of recommendation is indicated as strong recommendation or conditional recommendation.</w:t>
      </w:r>
    </w:p>
    <w:p w14:paraId="007133DA" w14:textId="206A8046" w:rsidR="00EA5BE0" w:rsidRPr="00EA5BE0" w:rsidRDefault="00EA5BE0" w:rsidP="005924F2">
      <w:pPr>
        <w:pStyle w:val="TableTitle"/>
        <w:rPr>
          <w:rFonts w:ascii="Calibri" w:eastAsia="Calibri" w:hAnsi="Calibri" w:cs="Calibri"/>
          <w:sz w:val="12"/>
          <w:szCs w:val="8"/>
        </w:rPr>
      </w:pPr>
      <w:bookmarkStart w:id="15" w:name="Bookmark1"/>
      <w:bookmarkStart w:id="16" w:name="Bookmark2"/>
      <w:bookmarkStart w:id="17" w:name="Bookmark3"/>
      <w:r w:rsidRPr="005924F2">
        <w:rPr>
          <w:b/>
          <w:bCs/>
        </w:rPr>
        <w:t>Table</w:t>
      </w:r>
      <w:bookmarkEnd w:id="15"/>
      <w:r w:rsidRPr="005924F2">
        <w:rPr>
          <w:b/>
          <w:bCs/>
        </w:rPr>
        <w:t xml:space="preserve"> </w:t>
      </w:r>
      <w:bookmarkEnd w:id="16"/>
      <w:bookmarkEnd w:id="17"/>
      <w:r w:rsidR="006B33D8" w:rsidRPr="005924F2">
        <w:rPr>
          <w:b/>
          <w:bCs/>
        </w:rPr>
        <w:t>12</w:t>
      </w:r>
      <w:r w:rsidR="005924F2" w:rsidRPr="005924F2">
        <w:rPr>
          <w:b/>
          <w:bCs/>
        </w:rPr>
        <w:t>.</w:t>
      </w:r>
      <w:r w:rsidRPr="005924F2">
        <w:rPr>
          <w:b/>
          <w:bCs/>
        </w:rPr>
        <w:t xml:space="preserve"> </w:t>
      </w:r>
      <w:r w:rsidRPr="00EA5BE0">
        <w:t>ASH (2019)</w:t>
      </w:r>
      <w:r w:rsidR="009B4B22">
        <w:t xml:space="preserve"> </w:t>
      </w:r>
      <w:r w:rsidRPr="00EA5BE0">
        <w:t>Strength of Recommendation Criteria (GRADE)</w:t>
      </w:r>
    </w:p>
    <w:tbl>
      <w:tblPr>
        <w:tblStyle w:val="AlternateTable"/>
        <w:tblW w:w="5000" w:type="pct"/>
        <w:tblLook w:val="04A0" w:firstRow="1" w:lastRow="0" w:firstColumn="1" w:lastColumn="0" w:noHBand="0" w:noVBand="1"/>
      </w:tblPr>
      <w:tblGrid>
        <w:gridCol w:w="2611"/>
        <w:gridCol w:w="10349"/>
      </w:tblGrid>
      <w:tr w:rsidR="00EA5BE0" w:rsidRPr="00EA5BE0" w14:paraId="36939BA4" w14:textId="77777777" w:rsidTr="002850A3">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2610" w:type="dxa"/>
            <w:vAlign w:val="bottom"/>
            <w:hideMark/>
          </w:tcPr>
          <w:p w14:paraId="11DEE0BB" w14:textId="77777777" w:rsidR="00EA5BE0" w:rsidRPr="00EA5BE0" w:rsidRDefault="00EA5BE0" w:rsidP="005924F2">
            <w:pPr>
              <w:pStyle w:val="TableHeaderLeft"/>
              <w:rPr>
                <w:b w:val="0"/>
              </w:rPr>
            </w:pPr>
            <w:r w:rsidRPr="00EA5BE0">
              <w:t>Meaning</w:t>
            </w:r>
          </w:p>
        </w:tc>
        <w:tc>
          <w:tcPr>
            <w:tcW w:w="10345" w:type="dxa"/>
            <w:vAlign w:val="bottom"/>
            <w:hideMark/>
          </w:tcPr>
          <w:p w14:paraId="2E6011B2" w14:textId="77777777" w:rsidR="00EA5BE0" w:rsidRPr="00EA5BE0" w:rsidRDefault="00EA5BE0" w:rsidP="005924F2">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Rationale</w:t>
            </w:r>
          </w:p>
        </w:tc>
      </w:tr>
      <w:tr w:rsidR="00EA5BE0" w:rsidRPr="00EA5BE0" w14:paraId="702C4C9A"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610" w:type="dxa"/>
          </w:tcPr>
          <w:p w14:paraId="57C6A6B9" w14:textId="77777777" w:rsidR="00EA5BE0" w:rsidRPr="00EA5BE0" w:rsidRDefault="00EA5BE0" w:rsidP="005924F2">
            <w:pPr>
              <w:pStyle w:val="TableTextLeft"/>
            </w:pPr>
            <w:r w:rsidRPr="00EA5BE0">
              <w:t>Strong</w:t>
            </w:r>
          </w:p>
        </w:tc>
        <w:tc>
          <w:tcPr>
            <w:tcW w:w="10345" w:type="dxa"/>
          </w:tcPr>
          <w:p w14:paraId="7AF6FBF1"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pPr>
            <w:r w:rsidRPr="00EA5BE0">
              <w:rPr>
                <w:rFonts w:eastAsia="Calibri"/>
                <w:shd w:val="clear" w:color="auto" w:fill="FFFFFF"/>
              </w:rPr>
              <w:t>The panel is highly confident of the balance between desirable and undesirable consequences. </w:t>
            </w:r>
          </w:p>
        </w:tc>
      </w:tr>
      <w:tr w:rsidR="00EA5BE0" w:rsidRPr="00EA5BE0" w14:paraId="59C52CC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610" w:type="dxa"/>
          </w:tcPr>
          <w:p w14:paraId="6E839A1E" w14:textId="77777777" w:rsidR="00EA5BE0" w:rsidRPr="00EA5BE0" w:rsidRDefault="00EA5BE0" w:rsidP="005924F2">
            <w:pPr>
              <w:pStyle w:val="TableTextLeft"/>
            </w:pPr>
            <w:r w:rsidRPr="00EA5BE0">
              <w:t>Conditional</w:t>
            </w:r>
          </w:p>
        </w:tc>
        <w:tc>
          <w:tcPr>
            <w:tcW w:w="10345" w:type="dxa"/>
          </w:tcPr>
          <w:p w14:paraId="49BC5993"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pPr>
            <w:r w:rsidRPr="00EA5BE0">
              <w:rPr>
                <w:rFonts w:eastAsia="Calibri"/>
                <w:shd w:val="clear" w:color="auto" w:fill="FFFFFF"/>
              </w:rPr>
              <w:t>The panel is less confident of the balance between desirable and undesirable consequences </w:t>
            </w:r>
          </w:p>
        </w:tc>
      </w:tr>
    </w:tbl>
    <w:p w14:paraId="5251CB54" w14:textId="77777777" w:rsidR="00EA5BE0" w:rsidRPr="006048B5" w:rsidRDefault="00EA5BE0" w:rsidP="00BF659D">
      <w:pPr>
        <w:pStyle w:val="ParagraphContinued"/>
      </w:pPr>
      <w:r w:rsidRPr="006048B5">
        <w:lastRenderedPageBreak/>
        <w:t xml:space="preserve">Within each recommendation, the quality of the supporting evidence is shown as high (++++), moderate (+++), low (++), or very low (+). </w:t>
      </w:r>
    </w:p>
    <w:p w14:paraId="34DA3015" w14:textId="516CFA75" w:rsidR="00EA5BE0" w:rsidRPr="006048B5" w:rsidRDefault="00EA5BE0" w:rsidP="006048B5">
      <w:pPr>
        <w:pStyle w:val="TableTitle"/>
      </w:pPr>
      <w:r w:rsidRPr="005924F2">
        <w:rPr>
          <w:b/>
          <w:bCs/>
        </w:rPr>
        <w:t>Table 1</w:t>
      </w:r>
      <w:r w:rsidR="006B33D8" w:rsidRPr="005924F2">
        <w:rPr>
          <w:b/>
          <w:bCs/>
        </w:rPr>
        <w:t>3</w:t>
      </w:r>
      <w:r w:rsidR="005924F2" w:rsidRPr="005924F2">
        <w:rPr>
          <w:b/>
          <w:bCs/>
        </w:rPr>
        <w:t>.</w:t>
      </w:r>
      <w:r w:rsidRPr="00EA5BE0">
        <w:t xml:space="preserve"> ASH (2019)</w:t>
      </w:r>
      <w:r w:rsidR="009B4B22">
        <w:t xml:space="preserve"> </w:t>
      </w:r>
      <w:r w:rsidRPr="00EA5BE0">
        <w:t>Strength of Evidence Criteria (GRADE)</w:t>
      </w:r>
    </w:p>
    <w:tbl>
      <w:tblPr>
        <w:tblStyle w:val="AlternateTable"/>
        <w:tblW w:w="0" w:type="auto"/>
        <w:tblLook w:val="04A0" w:firstRow="1" w:lastRow="0" w:firstColumn="1" w:lastColumn="0" w:noHBand="0" w:noVBand="1"/>
      </w:tblPr>
      <w:tblGrid>
        <w:gridCol w:w="1800"/>
        <w:gridCol w:w="2610"/>
        <w:gridCol w:w="8540"/>
      </w:tblGrid>
      <w:tr w:rsidR="00EA5BE0" w:rsidRPr="00EA5BE0" w14:paraId="41AEBD34" w14:textId="77777777" w:rsidTr="005924F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00" w:type="dxa"/>
            <w:vAlign w:val="bottom"/>
          </w:tcPr>
          <w:p w14:paraId="3173710B" w14:textId="77777777" w:rsidR="00EA5BE0" w:rsidRPr="00EA5BE0" w:rsidRDefault="00EA5BE0" w:rsidP="005924F2">
            <w:pPr>
              <w:pStyle w:val="TableHeaderLeft"/>
              <w:rPr>
                <w:b w:val="0"/>
              </w:rPr>
            </w:pPr>
            <w:r w:rsidRPr="00EA5BE0">
              <w:t>Evidence Grading</w:t>
            </w:r>
          </w:p>
        </w:tc>
        <w:tc>
          <w:tcPr>
            <w:tcW w:w="2610" w:type="dxa"/>
            <w:vAlign w:val="bottom"/>
            <w:hideMark/>
          </w:tcPr>
          <w:p w14:paraId="34C47D8D" w14:textId="77777777" w:rsidR="00EA5BE0" w:rsidRPr="00EA5BE0" w:rsidRDefault="00EA5BE0" w:rsidP="005924F2">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c>
          <w:tcPr>
            <w:tcW w:w="8540" w:type="dxa"/>
            <w:vAlign w:val="bottom"/>
            <w:hideMark/>
          </w:tcPr>
          <w:p w14:paraId="711159CB" w14:textId="77777777" w:rsidR="00EA5BE0" w:rsidRPr="00EA5BE0" w:rsidRDefault="00EA5BE0" w:rsidP="005924F2">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Rationale</w:t>
            </w:r>
          </w:p>
        </w:tc>
      </w:tr>
      <w:tr w:rsidR="00EA5BE0" w:rsidRPr="00EA5BE0" w14:paraId="3CA8D004" w14:textId="77777777" w:rsidTr="005924F2">
        <w:tc>
          <w:tcPr>
            <w:cnfStyle w:val="001000000000" w:firstRow="0" w:lastRow="0" w:firstColumn="1" w:lastColumn="0" w:oddVBand="0" w:evenVBand="0" w:oddHBand="0" w:evenHBand="0" w:firstRowFirstColumn="0" w:firstRowLastColumn="0" w:lastRowFirstColumn="0" w:lastRowLastColumn="0"/>
            <w:tcW w:w="1800" w:type="dxa"/>
          </w:tcPr>
          <w:p w14:paraId="679D427D" w14:textId="77777777" w:rsidR="00EA5BE0" w:rsidRPr="00EA5BE0" w:rsidRDefault="00EA5BE0" w:rsidP="005924F2">
            <w:pPr>
              <w:pStyle w:val="TableTextLeft"/>
            </w:pPr>
            <w:r w:rsidRPr="00EA5BE0">
              <w:t>++++</w:t>
            </w:r>
          </w:p>
        </w:tc>
        <w:tc>
          <w:tcPr>
            <w:tcW w:w="2610" w:type="dxa"/>
          </w:tcPr>
          <w:p w14:paraId="170CA402"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pPr>
            <w:r w:rsidRPr="00EA5BE0">
              <w:t>High</w:t>
            </w:r>
          </w:p>
        </w:tc>
        <w:tc>
          <w:tcPr>
            <w:tcW w:w="8540" w:type="dxa"/>
          </w:tcPr>
          <w:p w14:paraId="5AFC9819"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4+  </w:t>
            </w:r>
          </w:p>
          <w:p w14:paraId="2763D9D7"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We are very confident that the true effect lies close to that of the estimate of the effect.  </w:t>
            </w:r>
          </w:p>
        </w:tc>
      </w:tr>
      <w:tr w:rsidR="00EA5BE0" w:rsidRPr="00EA5BE0" w14:paraId="6F9381AC" w14:textId="77777777" w:rsidTr="005924F2">
        <w:tc>
          <w:tcPr>
            <w:cnfStyle w:val="001000000000" w:firstRow="0" w:lastRow="0" w:firstColumn="1" w:lastColumn="0" w:oddVBand="0" w:evenVBand="0" w:oddHBand="0" w:evenHBand="0" w:firstRowFirstColumn="0" w:firstRowLastColumn="0" w:lastRowFirstColumn="0" w:lastRowLastColumn="0"/>
            <w:tcW w:w="1800" w:type="dxa"/>
          </w:tcPr>
          <w:p w14:paraId="33410B29" w14:textId="77777777" w:rsidR="00EA5BE0" w:rsidRPr="00EA5BE0" w:rsidRDefault="00EA5BE0" w:rsidP="005924F2">
            <w:pPr>
              <w:pStyle w:val="TableTextLeft"/>
            </w:pPr>
            <w:r w:rsidRPr="00EA5BE0">
              <w:t>+++</w:t>
            </w:r>
          </w:p>
        </w:tc>
        <w:tc>
          <w:tcPr>
            <w:tcW w:w="2610" w:type="dxa"/>
          </w:tcPr>
          <w:p w14:paraId="6155F856"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pPr>
            <w:r w:rsidRPr="00EA5BE0">
              <w:t>Moderate</w:t>
            </w:r>
          </w:p>
        </w:tc>
        <w:tc>
          <w:tcPr>
            <w:tcW w:w="8540" w:type="dxa"/>
          </w:tcPr>
          <w:p w14:paraId="3A24F048"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3+ </w:t>
            </w:r>
          </w:p>
          <w:p w14:paraId="3622C95B"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We are moderately confident in the effect estimate: The true effect is likely to be close to the estimate of the effect, but there is a possibility that it is substantially different. </w:t>
            </w:r>
          </w:p>
        </w:tc>
      </w:tr>
      <w:tr w:rsidR="00EA5BE0" w:rsidRPr="00EA5BE0" w14:paraId="56C36628" w14:textId="77777777" w:rsidTr="005924F2">
        <w:tc>
          <w:tcPr>
            <w:cnfStyle w:val="001000000000" w:firstRow="0" w:lastRow="0" w:firstColumn="1" w:lastColumn="0" w:oddVBand="0" w:evenVBand="0" w:oddHBand="0" w:evenHBand="0" w:firstRowFirstColumn="0" w:firstRowLastColumn="0" w:lastRowFirstColumn="0" w:lastRowLastColumn="0"/>
            <w:tcW w:w="1800" w:type="dxa"/>
          </w:tcPr>
          <w:p w14:paraId="08E2869E" w14:textId="77777777" w:rsidR="00EA5BE0" w:rsidRPr="00EA5BE0" w:rsidRDefault="00EA5BE0" w:rsidP="005924F2">
            <w:pPr>
              <w:pStyle w:val="TableTextLeft"/>
            </w:pPr>
            <w:r w:rsidRPr="00EA5BE0">
              <w:t>++</w:t>
            </w:r>
          </w:p>
        </w:tc>
        <w:tc>
          <w:tcPr>
            <w:tcW w:w="2610" w:type="dxa"/>
          </w:tcPr>
          <w:p w14:paraId="75531ADC"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pPr>
            <w:r w:rsidRPr="00EA5BE0">
              <w:t>Low</w:t>
            </w:r>
          </w:p>
        </w:tc>
        <w:tc>
          <w:tcPr>
            <w:tcW w:w="8540" w:type="dxa"/>
          </w:tcPr>
          <w:p w14:paraId="103A645C"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2+ </w:t>
            </w:r>
          </w:p>
          <w:p w14:paraId="2B28C968"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Our confidence in the effect estimate is limited: The true effect may be substantially different from the estimate of the effect.  </w:t>
            </w:r>
          </w:p>
        </w:tc>
      </w:tr>
      <w:tr w:rsidR="00EA5BE0" w:rsidRPr="00EA5BE0" w14:paraId="47ED3F43" w14:textId="77777777" w:rsidTr="005924F2">
        <w:tc>
          <w:tcPr>
            <w:cnfStyle w:val="001000000000" w:firstRow="0" w:lastRow="0" w:firstColumn="1" w:lastColumn="0" w:oddVBand="0" w:evenVBand="0" w:oddHBand="0" w:evenHBand="0" w:firstRowFirstColumn="0" w:firstRowLastColumn="0" w:lastRowFirstColumn="0" w:lastRowLastColumn="0"/>
            <w:tcW w:w="1800" w:type="dxa"/>
          </w:tcPr>
          <w:p w14:paraId="21330265" w14:textId="77777777" w:rsidR="00EA5BE0" w:rsidRPr="00EA5BE0" w:rsidRDefault="00EA5BE0" w:rsidP="005924F2">
            <w:pPr>
              <w:pStyle w:val="TableTextLeft"/>
            </w:pPr>
            <w:r w:rsidRPr="00EA5BE0">
              <w:t>+</w:t>
            </w:r>
          </w:p>
        </w:tc>
        <w:tc>
          <w:tcPr>
            <w:tcW w:w="2610" w:type="dxa"/>
          </w:tcPr>
          <w:p w14:paraId="3CEFABD1"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pPr>
            <w:r w:rsidRPr="00EA5BE0">
              <w:t>Very Low</w:t>
            </w:r>
          </w:p>
        </w:tc>
        <w:tc>
          <w:tcPr>
            <w:tcW w:w="8540" w:type="dxa"/>
          </w:tcPr>
          <w:p w14:paraId="519F4392"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1+ </w:t>
            </w:r>
          </w:p>
          <w:p w14:paraId="65F01F4A" w14:textId="77777777" w:rsidR="00EA5BE0" w:rsidRPr="00EA5BE0" w:rsidRDefault="00EA5BE0" w:rsidP="005924F2">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We have very little confidence in the effect of the estimate: The true effect is likely to be substantially different from the estimate of the effect. </w:t>
            </w:r>
          </w:p>
        </w:tc>
      </w:tr>
    </w:tbl>
    <w:p w14:paraId="579B0583" w14:textId="66CD86EA" w:rsidR="002303CC" w:rsidRDefault="00EA5BE0" w:rsidP="005924F2">
      <w:pPr>
        <w:pStyle w:val="ParagraphContinued"/>
      </w:pPr>
      <w:r w:rsidRPr="006048B5">
        <w:t>Additionally, the level of evidence also indicates the quality of the body of evidence used to inform the recommendations.</w:t>
      </w:r>
    </w:p>
    <w:p w14:paraId="75BD9E77" w14:textId="77777777" w:rsidR="002303CC" w:rsidRDefault="002303CC">
      <w:pPr>
        <w:spacing w:after="160" w:line="259" w:lineRule="auto"/>
      </w:pPr>
      <w:r>
        <w:br w:type="page"/>
      </w:r>
    </w:p>
    <w:p w14:paraId="712F6680" w14:textId="13B0E232" w:rsidR="00EA5BE0" w:rsidRPr="00EA5BE0" w:rsidRDefault="00EA5BE0" w:rsidP="006048B5">
      <w:pPr>
        <w:pStyle w:val="TableTitle"/>
      </w:pPr>
      <w:r w:rsidRPr="00F521FD">
        <w:rPr>
          <w:b/>
          <w:bCs/>
        </w:rPr>
        <w:lastRenderedPageBreak/>
        <w:t>Table 1</w:t>
      </w:r>
      <w:r w:rsidR="006B33D8" w:rsidRPr="00F521FD">
        <w:rPr>
          <w:b/>
          <w:bCs/>
        </w:rPr>
        <w:t>4</w:t>
      </w:r>
      <w:r w:rsidR="00BC22D9" w:rsidRPr="00F521FD">
        <w:rPr>
          <w:b/>
          <w:bCs/>
        </w:rPr>
        <w:t>.</w:t>
      </w:r>
      <w:r w:rsidRPr="00F521FD">
        <w:rPr>
          <w:b/>
          <w:bCs/>
        </w:rPr>
        <w:t xml:space="preserve"> </w:t>
      </w:r>
      <w:r w:rsidRPr="00F521FD">
        <w:t>ASH (2019)</w:t>
      </w:r>
      <w:r w:rsidR="009B4B22" w:rsidRPr="00F521FD">
        <w:t xml:space="preserve"> </w:t>
      </w:r>
      <w:r w:rsidRPr="00F521FD">
        <w:t>Level of Evidence Criteria (GRADE)</w:t>
      </w:r>
    </w:p>
    <w:tbl>
      <w:tblPr>
        <w:tblStyle w:val="AlternateTable"/>
        <w:tblW w:w="5000" w:type="pct"/>
        <w:tblLook w:val="04A0" w:firstRow="1" w:lastRow="0" w:firstColumn="1" w:lastColumn="0" w:noHBand="0" w:noVBand="1"/>
      </w:tblPr>
      <w:tblGrid>
        <w:gridCol w:w="2182"/>
        <w:gridCol w:w="3914"/>
        <w:gridCol w:w="3432"/>
        <w:gridCol w:w="3432"/>
      </w:tblGrid>
      <w:tr w:rsidR="00EA5BE0" w:rsidRPr="00EA5BE0" w14:paraId="2A82FB7C" w14:textId="77777777" w:rsidTr="002303C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82" w:type="dxa"/>
            <w:vAlign w:val="bottom"/>
            <w:hideMark/>
          </w:tcPr>
          <w:p w14:paraId="223C700E" w14:textId="1B8823BC" w:rsidR="00EA5BE0" w:rsidRPr="00EA5BE0" w:rsidRDefault="00EA5BE0" w:rsidP="00F521FD">
            <w:pPr>
              <w:pStyle w:val="TableHeaderLeft"/>
              <w:rPr>
                <w:rFonts w:ascii="Segoe UI" w:hAnsi="Segoe UI" w:cs="Segoe UI"/>
                <w:szCs w:val="18"/>
              </w:rPr>
            </w:pPr>
            <w:r w:rsidRPr="00EA5BE0">
              <w:t>Study Design </w:t>
            </w:r>
          </w:p>
        </w:tc>
        <w:tc>
          <w:tcPr>
            <w:tcW w:w="3914" w:type="dxa"/>
            <w:vAlign w:val="bottom"/>
            <w:hideMark/>
          </w:tcPr>
          <w:p w14:paraId="03A38EB3" w14:textId="77777777" w:rsidR="00EA5BE0" w:rsidRPr="00EA5BE0" w:rsidRDefault="00EA5BE0" w:rsidP="00F521FD">
            <w:pPr>
              <w:pStyle w:val="TableHeaderCenter"/>
              <w:cnfStyle w:val="100000000000" w:firstRow="1" w:lastRow="0" w:firstColumn="0" w:lastColumn="0" w:oddVBand="0" w:evenVBand="0" w:oddHBand="0" w:evenHBand="0" w:firstRowFirstColumn="0" w:firstRowLastColumn="0" w:lastRowFirstColumn="0" w:lastRowLastColumn="0"/>
              <w:rPr>
                <w:rFonts w:ascii="Segoe UI" w:hAnsi="Segoe UI" w:cs="Segoe UI"/>
                <w:szCs w:val="18"/>
              </w:rPr>
            </w:pPr>
            <w:r w:rsidRPr="00EA5BE0">
              <w:t>Initial quality of a body of evidence </w:t>
            </w:r>
          </w:p>
        </w:tc>
        <w:tc>
          <w:tcPr>
            <w:tcW w:w="3432" w:type="dxa"/>
            <w:vAlign w:val="bottom"/>
            <w:hideMark/>
          </w:tcPr>
          <w:p w14:paraId="34A612B0" w14:textId="77777777" w:rsidR="00EA5BE0" w:rsidRPr="00EA5BE0" w:rsidRDefault="00EA5BE0" w:rsidP="00F521FD">
            <w:pPr>
              <w:pStyle w:val="TableHeaderCenter"/>
              <w:cnfStyle w:val="100000000000" w:firstRow="1" w:lastRow="0" w:firstColumn="0" w:lastColumn="0" w:oddVBand="0" w:evenVBand="0" w:oddHBand="0" w:evenHBand="0" w:firstRowFirstColumn="0" w:firstRowLastColumn="0" w:lastRowFirstColumn="0" w:lastRowLastColumn="0"/>
              <w:rPr>
                <w:rFonts w:ascii="Segoe UI" w:hAnsi="Segoe UI" w:cs="Segoe UI"/>
                <w:szCs w:val="18"/>
              </w:rPr>
            </w:pPr>
            <w:r w:rsidRPr="00EA5BE0">
              <w:t>Lower if </w:t>
            </w:r>
          </w:p>
        </w:tc>
        <w:tc>
          <w:tcPr>
            <w:tcW w:w="3432" w:type="dxa"/>
            <w:vAlign w:val="bottom"/>
            <w:hideMark/>
          </w:tcPr>
          <w:p w14:paraId="6227C37A" w14:textId="77777777" w:rsidR="00EA5BE0" w:rsidRPr="00EA5BE0" w:rsidRDefault="00EA5BE0" w:rsidP="00F521FD">
            <w:pPr>
              <w:pStyle w:val="TableHeaderCenter"/>
              <w:cnfStyle w:val="100000000000" w:firstRow="1" w:lastRow="0" w:firstColumn="0" w:lastColumn="0" w:oddVBand="0" w:evenVBand="0" w:oddHBand="0" w:evenHBand="0" w:firstRowFirstColumn="0" w:firstRowLastColumn="0" w:lastRowFirstColumn="0" w:lastRowLastColumn="0"/>
              <w:rPr>
                <w:rFonts w:ascii="Segoe UI" w:hAnsi="Segoe UI" w:cs="Segoe UI"/>
                <w:szCs w:val="18"/>
              </w:rPr>
            </w:pPr>
            <w:r w:rsidRPr="00EA5BE0">
              <w:t>Higher if </w:t>
            </w:r>
          </w:p>
        </w:tc>
      </w:tr>
      <w:tr w:rsidR="002303CC" w:rsidRPr="00EA5BE0" w14:paraId="54385EF7" w14:textId="77777777" w:rsidTr="002303CC">
        <w:tc>
          <w:tcPr>
            <w:cnfStyle w:val="001000000000" w:firstRow="0" w:lastRow="0" w:firstColumn="1" w:lastColumn="0" w:oddVBand="0" w:evenVBand="0" w:oddHBand="0" w:evenHBand="0" w:firstRowFirstColumn="0" w:firstRowLastColumn="0" w:lastRowFirstColumn="0" w:lastRowLastColumn="0"/>
            <w:tcW w:w="2182" w:type="dxa"/>
          </w:tcPr>
          <w:p w14:paraId="0B155CA6" w14:textId="3379E77F" w:rsidR="002303CC" w:rsidRPr="00EA5BE0" w:rsidRDefault="002303CC" w:rsidP="002303CC">
            <w:pPr>
              <w:pStyle w:val="TableTextLeft"/>
            </w:pPr>
            <w:r w:rsidRPr="00EA5BE0">
              <w:t>Randomized Trials </w:t>
            </w:r>
          </w:p>
        </w:tc>
        <w:tc>
          <w:tcPr>
            <w:tcW w:w="3914" w:type="dxa"/>
          </w:tcPr>
          <w:p w14:paraId="4D90016E" w14:textId="66B2B273" w:rsidR="002303CC" w:rsidRPr="00EA5BE0" w:rsidRDefault="002303CC" w:rsidP="002303CC">
            <w:pPr>
              <w:pStyle w:val="TableTextLeft"/>
              <w:cnfStyle w:val="000000000000" w:firstRow="0" w:lastRow="0" w:firstColumn="0" w:lastColumn="0" w:oddVBand="0" w:evenVBand="0" w:oddHBand="0" w:evenHBand="0" w:firstRowFirstColumn="0" w:firstRowLastColumn="0" w:lastRowFirstColumn="0" w:lastRowLastColumn="0"/>
            </w:pPr>
            <w:r w:rsidRPr="00EA5BE0">
              <w:t>High </w:t>
            </w:r>
          </w:p>
        </w:tc>
        <w:tc>
          <w:tcPr>
            <w:tcW w:w="3432" w:type="dxa"/>
            <w:tcBorders>
              <w:top w:val="single" w:sz="4" w:space="0" w:color="046B5C" w:themeColor="text2"/>
              <w:bottom w:val="nil"/>
            </w:tcBorders>
          </w:tcPr>
          <w:p w14:paraId="2893AA7C" w14:textId="1E2262EB" w:rsidR="002303CC" w:rsidRPr="00EA5BE0" w:rsidRDefault="002303CC" w:rsidP="002303CC">
            <w:pPr>
              <w:pStyle w:val="TableTextLeft"/>
              <w:cnfStyle w:val="000000000000" w:firstRow="0" w:lastRow="0" w:firstColumn="0" w:lastColumn="0" w:oddVBand="0" w:evenVBand="0" w:oddHBand="0" w:evenHBand="0" w:firstRowFirstColumn="0" w:firstRowLastColumn="0" w:lastRowFirstColumn="0" w:lastRowLastColumn="0"/>
            </w:pPr>
            <w:r w:rsidRPr="00EA5BE0">
              <w:t>Risk of bias</w:t>
            </w:r>
          </w:p>
        </w:tc>
        <w:tc>
          <w:tcPr>
            <w:tcW w:w="3432" w:type="dxa"/>
            <w:tcBorders>
              <w:top w:val="single" w:sz="4" w:space="0" w:color="046B5C" w:themeColor="text2"/>
              <w:bottom w:val="nil"/>
            </w:tcBorders>
          </w:tcPr>
          <w:p w14:paraId="44002280" w14:textId="73313581" w:rsidR="002303CC" w:rsidRPr="00EA5BE0" w:rsidRDefault="002303CC" w:rsidP="002303CC">
            <w:pPr>
              <w:pStyle w:val="TableTextLeft"/>
              <w:cnfStyle w:val="000000000000" w:firstRow="0" w:lastRow="0" w:firstColumn="0" w:lastColumn="0" w:oddVBand="0" w:evenVBand="0" w:oddHBand="0" w:evenHBand="0" w:firstRowFirstColumn="0" w:firstRowLastColumn="0" w:lastRowFirstColumn="0" w:lastRowLastColumn="0"/>
            </w:pPr>
            <w:r w:rsidRPr="00EA5BE0">
              <w:t>Large effect</w:t>
            </w:r>
          </w:p>
        </w:tc>
      </w:tr>
      <w:tr w:rsidR="002303CC" w:rsidRPr="00EA5BE0" w14:paraId="3D957FCF" w14:textId="77777777" w:rsidTr="002303CC">
        <w:tc>
          <w:tcPr>
            <w:cnfStyle w:val="001000000000" w:firstRow="0" w:lastRow="0" w:firstColumn="1" w:lastColumn="0" w:oddVBand="0" w:evenVBand="0" w:oddHBand="0" w:evenHBand="0" w:firstRowFirstColumn="0" w:firstRowLastColumn="0" w:lastRowFirstColumn="0" w:lastRowLastColumn="0"/>
            <w:tcW w:w="2182" w:type="dxa"/>
          </w:tcPr>
          <w:p w14:paraId="467DBD18" w14:textId="062CE91F" w:rsidR="002303CC" w:rsidRPr="00EA5BE0" w:rsidRDefault="002303CC" w:rsidP="002303CC">
            <w:pPr>
              <w:pStyle w:val="TableTextLeft"/>
            </w:pPr>
            <w:r w:rsidRPr="00EA5BE0">
              <w:t>Observational Studies </w:t>
            </w:r>
          </w:p>
        </w:tc>
        <w:tc>
          <w:tcPr>
            <w:tcW w:w="3914" w:type="dxa"/>
          </w:tcPr>
          <w:p w14:paraId="60CC1689" w14:textId="03F80C0E" w:rsidR="002303CC" w:rsidRPr="00EA5BE0" w:rsidRDefault="002303CC" w:rsidP="002303CC">
            <w:pPr>
              <w:pStyle w:val="TableTextLeft"/>
              <w:cnfStyle w:val="000000000000" w:firstRow="0" w:lastRow="0" w:firstColumn="0" w:lastColumn="0" w:oddVBand="0" w:evenVBand="0" w:oddHBand="0" w:evenHBand="0" w:firstRowFirstColumn="0" w:firstRowLastColumn="0" w:lastRowFirstColumn="0" w:lastRowLastColumn="0"/>
            </w:pPr>
            <w:r w:rsidRPr="00EA5BE0">
              <w:t>Low </w:t>
            </w:r>
          </w:p>
        </w:tc>
        <w:tc>
          <w:tcPr>
            <w:tcW w:w="3432" w:type="dxa"/>
            <w:tcBorders>
              <w:top w:val="nil"/>
              <w:bottom w:val="single" w:sz="4" w:space="0" w:color="046B5C" w:themeColor="text2"/>
            </w:tcBorders>
          </w:tcPr>
          <w:p w14:paraId="51E4C40D"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serious </w:t>
            </w:r>
          </w:p>
          <w:p w14:paraId="5041F5D9"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serious </w:t>
            </w:r>
          </w:p>
          <w:p w14:paraId="0D81587B" w14:textId="77777777" w:rsidR="002303CC" w:rsidRPr="00EA5BE0" w:rsidRDefault="002303CC" w:rsidP="002303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Inconsistency </w:t>
            </w:r>
          </w:p>
          <w:p w14:paraId="362C2793"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serious </w:t>
            </w:r>
          </w:p>
          <w:p w14:paraId="56F6F16A"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serious </w:t>
            </w:r>
          </w:p>
          <w:p w14:paraId="5A98667E" w14:textId="77777777" w:rsidR="002303CC" w:rsidRPr="00EA5BE0" w:rsidRDefault="002303CC" w:rsidP="002303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Indirectness </w:t>
            </w:r>
          </w:p>
          <w:p w14:paraId="23A0DAB3"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serious </w:t>
            </w:r>
          </w:p>
          <w:p w14:paraId="6CF2C038"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serious </w:t>
            </w:r>
          </w:p>
          <w:p w14:paraId="37C51137" w14:textId="77777777" w:rsidR="002303CC" w:rsidRPr="00EA5BE0" w:rsidRDefault="002303CC" w:rsidP="002303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Imprecision </w:t>
            </w:r>
          </w:p>
          <w:p w14:paraId="1E3241F9"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serious </w:t>
            </w:r>
          </w:p>
          <w:p w14:paraId="0919C2E1"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serious </w:t>
            </w:r>
          </w:p>
          <w:p w14:paraId="3C55E7E9" w14:textId="77777777" w:rsidR="002303CC" w:rsidRPr="00EA5BE0" w:rsidRDefault="002303CC" w:rsidP="002303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Publication bias </w:t>
            </w:r>
          </w:p>
          <w:p w14:paraId="46AEBBFF"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likely </w:t>
            </w:r>
          </w:p>
          <w:p w14:paraId="1089774A" w14:textId="386F041F"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pPr>
            <w:r w:rsidRPr="00EA5BE0">
              <w:t>-2 very likely</w:t>
            </w:r>
          </w:p>
        </w:tc>
        <w:tc>
          <w:tcPr>
            <w:tcW w:w="3432" w:type="dxa"/>
            <w:tcBorders>
              <w:top w:val="nil"/>
              <w:bottom w:val="single" w:sz="4" w:space="0" w:color="046B5C" w:themeColor="text2"/>
            </w:tcBorders>
          </w:tcPr>
          <w:p w14:paraId="61A48C9A"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large </w:t>
            </w:r>
          </w:p>
          <w:p w14:paraId="00B2ED88"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large </w:t>
            </w:r>
          </w:p>
          <w:p w14:paraId="6B4F1800" w14:textId="77777777" w:rsidR="002303CC" w:rsidRPr="00EA5BE0" w:rsidRDefault="002303CC" w:rsidP="002303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Dose response </w:t>
            </w:r>
          </w:p>
          <w:p w14:paraId="5458AE89"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Evidence of a gradient </w:t>
            </w:r>
          </w:p>
          <w:p w14:paraId="692CB0C8" w14:textId="77777777" w:rsidR="002303CC" w:rsidRPr="00EA5BE0" w:rsidRDefault="002303CC" w:rsidP="002303C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All plausible residual confounding </w:t>
            </w:r>
          </w:p>
          <w:p w14:paraId="7286E1E3" w14:textId="77777777"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 xml:space="preserve">+1 would reduce </w:t>
            </w:r>
            <w:proofErr w:type="gramStart"/>
            <w:r w:rsidRPr="00EA5BE0">
              <w:t>a demonstrated</w:t>
            </w:r>
            <w:proofErr w:type="gramEnd"/>
            <w:r w:rsidRPr="00EA5BE0">
              <w:t xml:space="preserve"> effect </w:t>
            </w:r>
          </w:p>
          <w:p w14:paraId="04B20C7B" w14:textId="3B94BD9F" w:rsidR="002303CC" w:rsidRPr="00EA5BE0" w:rsidRDefault="002303CC" w:rsidP="002303CC">
            <w:pPr>
              <w:pStyle w:val="TableTextIndent"/>
              <w:cnfStyle w:val="000000000000" w:firstRow="0" w:lastRow="0" w:firstColumn="0" w:lastColumn="0" w:oddVBand="0" w:evenVBand="0" w:oddHBand="0" w:evenHBand="0" w:firstRowFirstColumn="0" w:firstRowLastColumn="0" w:lastRowFirstColumn="0" w:lastRowLastColumn="0"/>
            </w:pPr>
            <w:r w:rsidRPr="00EA5BE0">
              <w:t>+1 would suggest a spurious effect if no effect was observed </w:t>
            </w:r>
          </w:p>
        </w:tc>
      </w:tr>
    </w:tbl>
    <w:p w14:paraId="435D53CA" w14:textId="41167768" w:rsidR="00EA5BE0" w:rsidRPr="00EA5BE0" w:rsidRDefault="00EA5BE0" w:rsidP="007F090D">
      <w:pPr>
        <w:pStyle w:val="TableTitle"/>
        <w:rPr>
          <w:rFonts w:ascii="Calibri" w:eastAsia="Calibri" w:hAnsi="Calibri" w:cs="Calibri"/>
          <w:sz w:val="12"/>
          <w:szCs w:val="8"/>
        </w:rPr>
      </w:pPr>
      <w:r w:rsidRPr="007F090D">
        <w:rPr>
          <w:b/>
          <w:bCs/>
        </w:rPr>
        <w:t>Table 1</w:t>
      </w:r>
      <w:r w:rsidR="006B33D8" w:rsidRPr="007F090D">
        <w:rPr>
          <w:b/>
          <w:bCs/>
        </w:rPr>
        <w:t>5</w:t>
      </w:r>
      <w:r w:rsidR="007F090D" w:rsidRPr="007F090D">
        <w:rPr>
          <w:b/>
          <w:bCs/>
        </w:rPr>
        <w:t>.</w:t>
      </w:r>
      <w:r w:rsidRPr="00EA5BE0">
        <w:t xml:space="preserve"> ASH (2019)</w:t>
      </w:r>
      <w:r w:rsidR="009B4B22">
        <w:t xml:space="preserve"> </w:t>
      </w:r>
      <w:r w:rsidR="005F3A67">
        <w:t>Surgical</w:t>
      </w:r>
      <w:r w:rsidRPr="00EA5BE0">
        <w:t xml:space="preserve"> Guidelines that Support the Measure</w:t>
      </w:r>
    </w:p>
    <w:tbl>
      <w:tblPr>
        <w:tblStyle w:val="AlternateTable"/>
        <w:tblW w:w="5000" w:type="pct"/>
        <w:tblLook w:val="04A0" w:firstRow="1" w:lastRow="0" w:firstColumn="1" w:lastColumn="0" w:noHBand="0" w:noVBand="1"/>
      </w:tblPr>
      <w:tblGrid>
        <w:gridCol w:w="9847"/>
        <w:gridCol w:w="1877"/>
        <w:gridCol w:w="1236"/>
      </w:tblGrid>
      <w:tr w:rsidR="00EA5BE0" w:rsidRPr="00EA5BE0" w14:paraId="727A9398" w14:textId="77777777" w:rsidTr="002850A3">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10260" w:type="dxa"/>
            <w:vAlign w:val="bottom"/>
            <w:hideMark/>
          </w:tcPr>
          <w:p w14:paraId="6E644698" w14:textId="77777777" w:rsidR="00EA5BE0" w:rsidRPr="00EA5BE0" w:rsidRDefault="00EA5BE0" w:rsidP="0052528E">
            <w:pPr>
              <w:pStyle w:val="TableHeaderLeft"/>
              <w:rPr>
                <w:b w:val="0"/>
              </w:rPr>
            </w:pPr>
            <w:r w:rsidRPr="00EA5BE0">
              <w:t>Verbatim Guideline</w:t>
            </w:r>
          </w:p>
        </w:tc>
        <w:tc>
          <w:tcPr>
            <w:tcW w:w="1890" w:type="dxa"/>
            <w:vAlign w:val="bottom"/>
            <w:hideMark/>
          </w:tcPr>
          <w:p w14:paraId="17F529BC" w14:textId="77777777" w:rsidR="00EA5BE0" w:rsidRPr="00EA5BE0" w:rsidRDefault="00EA5BE0" w:rsidP="0052528E">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255" w:type="dxa"/>
            <w:vAlign w:val="bottom"/>
            <w:hideMark/>
          </w:tcPr>
          <w:p w14:paraId="334ED628" w14:textId="77777777" w:rsidR="00EA5BE0" w:rsidRPr="00EA5BE0" w:rsidRDefault="00EA5BE0" w:rsidP="0052528E">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7F090D" w:rsidRPr="00EA5BE0" w14:paraId="533BC3E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5A7C0400" w14:textId="18C54BB2" w:rsidR="007F090D" w:rsidRPr="00EA5BE0" w:rsidRDefault="00370E20" w:rsidP="0052528E">
            <w:pPr>
              <w:pStyle w:val="TableRowHead"/>
              <w:rPr>
                <w:color w:val="000000"/>
              </w:rPr>
            </w:pPr>
            <w:r w:rsidRPr="006048B5">
              <w:t>Guidelines focused on Perioperative VTE Prophylaxis in Major Surgery in General</w:t>
            </w:r>
          </w:p>
        </w:tc>
        <w:tc>
          <w:tcPr>
            <w:tcW w:w="1890" w:type="dxa"/>
            <w:shd w:val="clear" w:color="auto" w:fill="0B2949" w:themeFill="accent1"/>
          </w:tcPr>
          <w:p w14:paraId="62B25328" w14:textId="77777777" w:rsidR="007F090D" w:rsidRPr="00EA5BE0" w:rsidRDefault="007F090D" w:rsidP="0052528E">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255" w:type="dxa"/>
            <w:shd w:val="clear" w:color="auto" w:fill="0B2949" w:themeFill="accent1"/>
          </w:tcPr>
          <w:p w14:paraId="6E2D1998" w14:textId="77777777" w:rsidR="007F090D" w:rsidRPr="00EA5BE0" w:rsidRDefault="007F090D" w:rsidP="0052528E">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EA5BE0" w:rsidRPr="00EA5BE0" w14:paraId="03F4F92E"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4254ABD3" w14:textId="77777777" w:rsidR="00EA5BE0" w:rsidRPr="00EA5BE0" w:rsidRDefault="00EA5BE0" w:rsidP="0052528E">
            <w:pPr>
              <w:pStyle w:val="TableTextLeft"/>
            </w:pPr>
            <w:r w:rsidRPr="00EA5BE0">
              <w:t>1. For patients undergoing major surgery, the ASH guideline panel suggests using pharmacological prophylaxis or mechanical prophylaxis.</w:t>
            </w:r>
          </w:p>
        </w:tc>
        <w:tc>
          <w:tcPr>
            <w:tcW w:w="1890" w:type="dxa"/>
            <w:hideMark/>
          </w:tcPr>
          <w:p w14:paraId="4550947F"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3F5D939E"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4D002D5F"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680818F3" w14:textId="77777777" w:rsidR="00EA5BE0" w:rsidRPr="00EA5BE0" w:rsidRDefault="00EA5BE0" w:rsidP="0052528E">
            <w:pPr>
              <w:pStyle w:val="TableTextLeft"/>
            </w:pPr>
            <w:r w:rsidRPr="00EA5BE0">
              <w:t>2. For patients undergoing major surgery who do not receive pharmacologic prophylaxis, the ASH guideline panel suggests using mechanical prophylaxis over no mechanical prophylaxis.</w:t>
            </w:r>
          </w:p>
        </w:tc>
        <w:tc>
          <w:tcPr>
            <w:tcW w:w="1890" w:type="dxa"/>
            <w:hideMark/>
          </w:tcPr>
          <w:p w14:paraId="19B207CF"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5DE24865"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2F481F46"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1AD977D2" w14:textId="77777777" w:rsidR="00EA5BE0" w:rsidRPr="00EA5BE0" w:rsidRDefault="00EA5BE0" w:rsidP="0052528E">
            <w:pPr>
              <w:pStyle w:val="TableTextLeft"/>
            </w:pPr>
            <w:r w:rsidRPr="00EA5BE0">
              <w:t>3. For patients undergoing major surgery who receive mechanical prophylaxis, the ASH guideline panel suggests using intermittent compression devices over graduated compression stockings.</w:t>
            </w:r>
          </w:p>
        </w:tc>
        <w:tc>
          <w:tcPr>
            <w:tcW w:w="1890" w:type="dxa"/>
            <w:hideMark/>
          </w:tcPr>
          <w:p w14:paraId="23D672C1"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74FD2A2E"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635ABA4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7CE47DF1" w14:textId="77777777" w:rsidR="00EA5BE0" w:rsidRPr="00EA5BE0" w:rsidRDefault="00EA5BE0" w:rsidP="0052528E">
            <w:pPr>
              <w:pStyle w:val="TableTextLeft"/>
            </w:pPr>
            <w:r w:rsidRPr="00EA5BE0">
              <w:t xml:space="preserve">4. For patients undergoing major surgery who receive pharmacologic prophylaxis, the ASH guideline panel suggests using combined prophylaxis with mechanical and pharmacological methods over prophylaxis with pharmacological agents alone. </w:t>
            </w:r>
          </w:p>
        </w:tc>
        <w:tc>
          <w:tcPr>
            <w:tcW w:w="1890" w:type="dxa"/>
            <w:hideMark/>
          </w:tcPr>
          <w:p w14:paraId="64C08B9F"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49B94361"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7EA6CB21"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2AAA028D" w14:textId="5F97E42A" w:rsidR="00EA5BE0" w:rsidRPr="00EA5BE0" w:rsidRDefault="00EA5BE0" w:rsidP="0052528E">
            <w:pPr>
              <w:pStyle w:val="TableTextLeft"/>
            </w:pPr>
            <w:r w:rsidRPr="00EA5BE0">
              <w:lastRenderedPageBreak/>
              <w:t xml:space="preserve">5. For patients undergoing major surgery, the ASH guideline panel suggests </w:t>
            </w:r>
            <w:r w:rsidR="000E05F3">
              <w:t>d</w:t>
            </w:r>
            <w:r w:rsidRPr="00EA5BE0">
              <w:t>epending on the risk of VTE and bleeding based on the individual patient and the type of surgical procedure, using combined prophylaxis or mechanical prophylaxis alone</w:t>
            </w:r>
          </w:p>
        </w:tc>
        <w:tc>
          <w:tcPr>
            <w:tcW w:w="1890" w:type="dxa"/>
            <w:hideMark/>
          </w:tcPr>
          <w:p w14:paraId="5730A83F"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00B36E9A"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21C77973"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5FCBB23D" w14:textId="35692928" w:rsidR="00EA5BE0" w:rsidRPr="00EA5BE0" w:rsidRDefault="00EA5BE0" w:rsidP="0052528E">
            <w:pPr>
              <w:pStyle w:val="TableTextLeft"/>
            </w:pPr>
            <w:r w:rsidRPr="00EA5BE0">
              <w:t xml:space="preserve">6. For patients undergoing major surgery, the ASH guideline panel suggests against using </w:t>
            </w:r>
            <w:r w:rsidR="004210C6">
              <w:t>IVC</w:t>
            </w:r>
            <w:r w:rsidRPr="00EA5BE0">
              <w:t xml:space="preserve"> filters for prophylaxis of VTE.</w:t>
            </w:r>
          </w:p>
        </w:tc>
        <w:tc>
          <w:tcPr>
            <w:tcW w:w="1890" w:type="dxa"/>
            <w:hideMark/>
          </w:tcPr>
          <w:p w14:paraId="2481C047"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20BA2FC6"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2342823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7C8B054B" w14:textId="77777777" w:rsidR="00EA5BE0" w:rsidRPr="00EA5BE0" w:rsidRDefault="00EA5BE0" w:rsidP="0052528E">
            <w:pPr>
              <w:pStyle w:val="TableTextLeft"/>
            </w:pPr>
            <w:r w:rsidRPr="00EA5BE0">
              <w:t>7. For patients undergoing major surgery, the ASH guideline panel suggests using extended antithrombotic prophylaxis over short-term antithrombotic prophylaxis.</w:t>
            </w:r>
          </w:p>
        </w:tc>
        <w:tc>
          <w:tcPr>
            <w:tcW w:w="1890" w:type="dxa"/>
            <w:hideMark/>
          </w:tcPr>
          <w:p w14:paraId="7C570A40"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32312AC4"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144CF31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498B1A41" w14:textId="77777777" w:rsidR="00EA5BE0" w:rsidRPr="00EA5BE0" w:rsidRDefault="00EA5BE0" w:rsidP="0052528E">
            <w:pPr>
              <w:pStyle w:val="TableTextLeft"/>
            </w:pPr>
            <w:r w:rsidRPr="00EA5BE0">
              <w:t>8. For patients undergoing major surgery, ASH guideline panel suggests using early or delayed antithrombotic prophylaxis.</w:t>
            </w:r>
          </w:p>
        </w:tc>
        <w:tc>
          <w:tcPr>
            <w:tcW w:w="1890" w:type="dxa"/>
            <w:hideMark/>
          </w:tcPr>
          <w:p w14:paraId="787AFD03"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21494E48"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370E20" w:rsidRPr="00EA5BE0" w14:paraId="4A4C8EFE"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70F14031" w14:textId="500EF1D6" w:rsidR="00370E20" w:rsidRPr="00EA5BE0" w:rsidRDefault="00370E20" w:rsidP="0052528E">
            <w:pPr>
              <w:pStyle w:val="TableRowHead"/>
              <w:rPr>
                <w:color w:val="000000"/>
              </w:rPr>
            </w:pPr>
            <w:r w:rsidRPr="006048B5">
              <w:t>Guidelines focused on Orthopedic Surgery: Total Hip and Knee Arthroplasty</w:t>
            </w:r>
          </w:p>
        </w:tc>
        <w:tc>
          <w:tcPr>
            <w:tcW w:w="1890" w:type="dxa"/>
            <w:shd w:val="clear" w:color="auto" w:fill="0B2949" w:themeFill="accent1"/>
          </w:tcPr>
          <w:p w14:paraId="72388B7D" w14:textId="77777777" w:rsidR="00370E20" w:rsidRPr="00EA5BE0" w:rsidRDefault="00370E20" w:rsidP="0052528E">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255" w:type="dxa"/>
            <w:shd w:val="clear" w:color="auto" w:fill="0B2949" w:themeFill="accent1"/>
          </w:tcPr>
          <w:p w14:paraId="7E4C25A1" w14:textId="77777777" w:rsidR="00370E20" w:rsidRPr="00EA5BE0" w:rsidRDefault="00370E20" w:rsidP="0052528E">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EA5BE0" w:rsidRPr="00EA5BE0" w14:paraId="0B34642E"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55C89EAF" w14:textId="77777777" w:rsidR="00EA5BE0" w:rsidRPr="00EA5BE0" w:rsidRDefault="00EA5BE0" w:rsidP="0052528E">
            <w:pPr>
              <w:pStyle w:val="TableTextLeft"/>
            </w:pPr>
            <w:r w:rsidRPr="00EA5BE0">
              <w:t>9. For patients undergoing total hip arthroplasty or total knee arthroplasty, the ASH guideline panel suggests using aspirin (ASA) or anticoagulants.</w:t>
            </w:r>
          </w:p>
        </w:tc>
        <w:tc>
          <w:tcPr>
            <w:tcW w:w="1890" w:type="dxa"/>
            <w:hideMark/>
          </w:tcPr>
          <w:p w14:paraId="0C7C9417"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2249FB24"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3B911A88"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73F3F2DA" w14:textId="0DD528FE" w:rsidR="00EA5BE0" w:rsidRPr="00EA5BE0" w:rsidRDefault="00EA5BE0" w:rsidP="0052528E">
            <w:pPr>
              <w:pStyle w:val="TableTextLeft"/>
            </w:pPr>
            <w:r w:rsidRPr="00EA5BE0">
              <w:t>10. For patients undergoing total hip arthroplasty or total knee arthroplasty, when anticoagulants are used, the panel suggests using DOACs over LMWH.</w:t>
            </w:r>
          </w:p>
        </w:tc>
        <w:tc>
          <w:tcPr>
            <w:tcW w:w="1890" w:type="dxa"/>
            <w:hideMark/>
          </w:tcPr>
          <w:p w14:paraId="70B89399"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74033EE7"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559BE5FA"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48B39B90" w14:textId="77777777" w:rsidR="00EA5BE0" w:rsidRPr="00EA5BE0" w:rsidRDefault="00EA5BE0" w:rsidP="0052528E">
            <w:pPr>
              <w:pStyle w:val="TableTextLeft"/>
            </w:pPr>
            <w:r w:rsidRPr="00EA5BE0">
              <w:t>11. For patients undergoing total hip arthroplasty or total knee arthroplasty, the panel suggests using any of the DOACs approved for use.</w:t>
            </w:r>
          </w:p>
        </w:tc>
        <w:tc>
          <w:tcPr>
            <w:tcW w:w="1890" w:type="dxa"/>
            <w:hideMark/>
          </w:tcPr>
          <w:p w14:paraId="2D63BA15"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65E67824"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47306AB9"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58D28D0C" w14:textId="77777777" w:rsidR="00EA5BE0" w:rsidRPr="00EA5BE0" w:rsidRDefault="00EA5BE0" w:rsidP="0052528E">
            <w:pPr>
              <w:pStyle w:val="TableTextLeft"/>
            </w:pPr>
            <w:r w:rsidRPr="00EA5BE0">
              <w:t>12. For patients undergoing total hip arthroplasty or total knee arthroplasty, if a DOAC is not used, the panel suggests using LMWH rather than warfarin.</w:t>
            </w:r>
          </w:p>
        </w:tc>
        <w:tc>
          <w:tcPr>
            <w:tcW w:w="1890" w:type="dxa"/>
            <w:hideMark/>
          </w:tcPr>
          <w:p w14:paraId="2079EE69"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00BBFEF3"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781BECD9"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277B08C3" w14:textId="77777777" w:rsidR="00EA5BE0" w:rsidRPr="00EA5BE0" w:rsidRDefault="00EA5BE0" w:rsidP="0052528E">
            <w:pPr>
              <w:pStyle w:val="TableTextLeft"/>
            </w:pPr>
            <w:r w:rsidRPr="00EA5BE0">
              <w:t>13. For patients undergoing total hip arthroplasty or total knee arthroplasty, if a DOAC is not used, the panel suggests LMWH rather than unfractionated heparin (UFH).</w:t>
            </w:r>
          </w:p>
        </w:tc>
        <w:tc>
          <w:tcPr>
            <w:tcW w:w="1890" w:type="dxa"/>
            <w:hideMark/>
          </w:tcPr>
          <w:p w14:paraId="360BDFB5"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Strong Recommendation</w:t>
            </w:r>
          </w:p>
        </w:tc>
        <w:tc>
          <w:tcPr>
            <w:tcW w:w="1255" w:type="dxa"/>
            <w:hideMark/>
          </w:tcPr>
          <w:p w14:paraId="0091E572"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543F5EC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625A4801" w14:textId="77777777" w:rsidR="00EA5BE0" w:rsidRPr="006048B5" w:rsidRDefault="00EA5BE0" w:rsidP="0052528E">
            <w:pPr>
              <w:pStyle w:val="TableRowHead"/>
            </w:pPr>
            <w:r w:rsidRPr="006048B5">
              <w:t>Guidelines focused on Orthopedic Surgery: Hip Fracture Repair</w:t>
            </w:r>
          </w:p>
        </w:tc>
        <w:tc>
          <w:tcPr>
            <w:tcW w:w="1890" w:type="dxa"/>
            <w:shd w:val="clear" w:color="auto" w:fill="0B2949" w:themeFill="accent1"/>
          </w:tcPr>
          <w:p w14:paraId="3C892774"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c>
          <w:tcPr>
            <w:tcW w:w="1255" w:type="dxa"/>
            <w:shd w:val="clear" w:color="auto" w:fill="0B2949" w:themeFill="accent1"/>
          </w:tcPr>
          <w:p w14:paraId="74BB65DA"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r>
      <w:tr w:rsidR="00EA5BE0" w:rsidRPr="00EA5BE0" w14:paraId="0D63040F"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1E2482AA" w14:textId="77777777" w:rsidR="00EA5BE0" w:rsidRPr="00EA5BE0" w:rsidRDefault="00EA5BE0" w:rsidP="0052528E">
            <w:pPr>
              <w:pStyle w:val="TableTextLeft"/>
            </w:pPr>
            <w:r w:rsidRPr="00EA5BE0">
              <w:t>14. For patients undergoing hip fracture repair, the ASH guideline panel suggests using pharmacological prophylaxis over no pharmacological prophylaxis.</w:t>
            </w:r>
          </w:p>
        </w:tc>
        <w:tc>
          <w:tcPr>
            <w:tcW w:w="1890" w:type="dxa"/>
            <w:hideMark/>
          </w:tcPr>
          <w:p w14:paraId="79B58354"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437C29F9"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369D2E65"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2A9F7BAF" w14:textId="77777777" w:rsidR="00EA5BE0" w:rsidRPr="00EA5BE0" w:rsidRDefault="00EA5BE0" w:rsidP="0052528E">
            <w:pPr>
              <w:pStyle w:val="TableTextLeft"/>
            </w:pPr>
            <w:r w:rsidRPr="00EA5BE0">
              <w:t>15. For patients undergoing hip fracture repair, the ASH guideline panel suggests using LMWH or UFH.</w:t>
            </w:r>
          </w:p>
        </w:tc>
        <w:tc>
          <w:tcPr>
            <w:tcW w:w="1890" w:type="dxa"/>
            <w:hideMark/>
          </w:tcPr>
          <w:p w14:paraId="43589FF2"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39FCE9AC"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2D3CDD8C"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4709BA66" w14:textId="77777777" w:rsidR="00EA5BE0" w:rsidRPr="006048B5" w:rsidRDefault="00EA5BE0" w:rsidP="0052528E">
            <w:pPr>
              <w:pStyle w:val="TableRowHead"/>
            </w:pPr>
            <w:r w:rsidRPr="006048B5">
              <w:t>Guidelines Focused on Major General Surgery</w:t>
            </w:r>
          </w:p>
        </w:tc>
        <w:tc>
          <w:tcPr>
            <w:tcW w:w="1890" w:type="dxa"/>
            <w:shd w:val="clear" w:color="auto" w:fill="0B2949" w:themeFill="accent1"/>
          </w:tcPr>
          <w:p w14:paraId="5B40AF7F"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c>
          <w:tcPr>
            <w:tcW w:w="1255" w:type="dxa"/>
            <w:shd w:val="clear" w:color="auto" w:fill="0B2949" w:themeFill="accent1"/>
          </w:tcPr>
          <w:p w14:paraId="5B99902C"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r>
      <w:tr w:rsidR="00EA5BE0" w:rsidRPr="00EA5BE0" w14:paraId="0141B77E"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130C1D7A" w14:textId="77777777" w:rsidR="00EA5BE0" w:rsidRPr="00EA5BE0" w:rsidRDefault="00EA5BE0" w:rsidP="0052528E">
            <w:pPr>
              <w:pStyle w:val="TableTextLeft"/>
            </w:pPr>
            <w:r w:rsidRPr="00EA5BE0">
              <w:t>16. For patients undergoing major general surgery, the ASH guideline panel suggests using pharmacological prophylaxis over no pharmacological prophylaxis.</w:t>
            </w:r>
          </w:p>
        </w:tc>
        <w:tc>
          <w:tcPr>
            <w:tcW w:w="1890" w:type="dxa"/>
            <w:hideMark/>
          </w:tcPr>
          <w:p w14:paraId="52D38E16"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18FEC7BF"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4C219F88"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51290CBA" w14:textId="77777777" w:rsidR="00EA5BE0" w:rsidRPr="00EA5BE0" w:rsidRDefault="00EA5BE0" w:rsidP="0052528E">
            <w:pPr>
              <w:pStyle w:val="TableTextLeft"/>
            </w:pPr>
            <w:r w:rsidRPr="00EA5BE0">
              <w:t>17. For patients undergoing major general surgery, the ASH guideline panel suggests using LMWH or UFH.</w:t>
            </w:r>
          </w:p>
        </w:tc>
        <w:tc>
          <w:tcPr>
            <w:tcW w:w="1890" w:type="dxa"/>
            <w:hideMark/>
          </w:tcPr>
          <w:p w14:paraId="2EDA1F01"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00E429BB"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73A4C939"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40F211E1" w14:textId="77777777" w:rsidR="00EA5BE0" w:rsidRPr="006048B5" w:rsidRDefault="00EA5BE0" w:rsidP="0052528E">
            <w:pPr>
              <w:pStyle w:val="TableRowHead"/>
            </w:pPr>
            <w:r w:rsidRPr="006048B5">
              <w:lastRenderedPageBreak/>
              <w:t>Guidelines Focused on Laparoscopic Cholecystectomy</w:t>
            </w:r>
          </w:p>
        </w:tc>
        <w:tc>
          <w:tcPr>
            <w:tcW w:w="1890" w:type="dxa"/>
            <w:shd w:val="clear" w:color="auto" w:fill="0B2949" w:themeFill="accent1"/>
          </w:tcPr>
          <w:p w14:paraId="21A4B224"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c>
          <w:tcPr>
            <w:tcW w:w="1255" w:type="dxa"/>
            <w:shd w:val="clear" w:color="auto" w:fill="0B2949" w:themeFill="accent1"/>
          </w:tcPr>
          <w:p w14:paraId="4652DAE8"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r>
      <w:tr w:rsidR="00EA5BE0" w:rsidRPr="00EA5BE0" w14:paraId="4FBE1ED7"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13C892D6" w14:textId="0A141624" w:rsidR="00EA5BE0" w:rsidRPr="00EA5BE0" w:rsidRDefault="00EA5BE0" w:rsidP="0052528E">
            <w:pPr>
              <w:pStyle w:val="TableTextLeft"/>
            </w:pPr>
            <w:r w:rsidRPr="00EA5BE0">
              <w:t>18. For patients undergoing laparoscopic cholecystectomy,</w:t>
            </w:r>
            <w:r w:rsidR="00176A40">
              <w:t xml:space="preserve"> </w:t>
            </w:r>
            <w:r w:rsidRPr="00EA5BE0">
              <w:t>the ASH guideline panel suggests against using pharmacological prophylaxis.</w:t>
            </w:r>
          </w:p>
        </w:tc>
        <w:tc>
          <w:tcPr>
            <w:tcW w:w="1890" w:type="dxa"/>
            <w:hideMark/>
          </w:tcPr>
          <w:p w14:paraId="10B5CA6D"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2923714B"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08D9BAD5"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4BB1FAB7" w14:textId="77777777" w:rsidR="00EA5BE0" w:rsidRPr="006048B5" w:rsidRDefault="00EA5BE0" w:rsidP="0052528E">
            <w:pPr>
              <w:pStyle w:val="TableRowHead"/>
            </w:pPr>
            <w:r w:rsidRPr="006048B5">
              <w:t>Guidelines Focused on Major Neurosurgical Procedures</w:t>
            </w:r>
          </w:p>
        </w:tc>
        <w:tc>
          <w:tcPr>
            <w:tcW w:w="1890" w:type="dxa"/>
            <w:shd w:val="clear" w:color="auto" w:fill="0B2949" w:themeFill="accent1"/>
          </w:tcPr>
          <w:p w14:paraId="05EC2BCE"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c>
          <w:tcPr>
            <w:tcW w:w="1255" w:type="dxa"/>
            <w:shd w:val="clear" w:color="auto" w:fill="0B2949" w:themeFill="accent1"/>
          </w:tcPr>
          <w:p w14:paraId="505931D6"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r>
      <w:tr w:rsidR="00EA5BE0" w:rsidRPr="00EA5BE0" w14:paraId="0F51306A"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23E139EC" w14:textId="77777777" w:rsidR="00EA5BE0" w:rsidRPr="00EA5BE0" w:rsidRDefault="00EA5BE0" w:rsidP="0052528E">
            <w:pPr>
              <w:pStyle w:val="TableTextLeft"/>
            </w:pPr>
            <w:r w:rsidRPr="00EA5BE0">
              <w:t>19. For patients undergoing major neurosurgical procedures, the ASH guideline panel suggests against using pharmacological prophylaxis.</w:t>
            </w:r>
          </w:p>
        </w:tc>
        <w:tc>
          <w:tcPr>
            <w:tcW w:w="1890" w:type="dxa"/>
            <w:hideMark/>
          </w:tcPr>
          <w:p w14:paraId="1277E396"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1C62A499"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44658037"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38BB1A24" w14:textId="77777777" w:rsidR="00EA5BE0" w:rsidRPr="00EA5BE0" w:rsidRDefault="00EA5BE0" w:rsidP="0052528E">
            <w:pPr>
              <w:pStyle w:val="TableTextLeft"/>
            </w:pPr>
            <w:r w:rsidRPr="00EA5BE0">
              <w:t>20. For the subset of patients undergoing major neurosurgical procedures for whom pharmacological prophylaxis is used, the ASH guideline panel suggests using LMWH over UFH.</w:t>
            </w:r>
          </w:p>
        </w:tc>
        <w:tc>
          <w:tcPr>
            <w:tcW w:w="1890" w:type="dxa"/>
            <w:hideMark/>
          </w:tcPr>
          <w:p w14:paraId="7CE6A36D"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37189053"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7EDAD221"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04F4A370" w14:textId="77777777" w:rsidR="00EA5BE0" w:rsidRPr="006048B5" w:rsidRDefault="00EA5BE0" w:rsidP="0052528E">
            <w:pPr>
              <w:pStyle w:val="TableRowHead"/>
            </w:pPr>
            <w:r w:rsidRPr="006048B5">
              <w:t>Guidelines Focused on TURP</w:t>
            </w:r>
          </w:p>
        </w:tc>
        <w:tc>
          <w:tcPr>
            <w:tcW w:w="1890" w:type="dxa"/>
            <w:shd w:val="clear" w:color="auto" w:fill="0B2949" w:themeFill="accent1"/>
          </w:tcPr>
          <w:p w14:paraId="382EB0EB"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c>
          <w:tcPr>
            <w:tcW w:w="1255" w:type="dxa"/>
            <w:shd w:val="clear" w:color="auto" w:fill="0B2949" w:themeFill="accent1"/>
          </w:tcPr>
          <w:p w14:paraId="7245E7CF"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r>
      <w:tr w:rsidR="00EA5BE0" w:rsidRPr="00EA5BE0" w14:paraId="2BEADCF5"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2BBC256A" w14:textId="77777777" w:rsidR="00EA5BE0" w:rsidRPr="00EA5BE0" w:rsidRDefault="00EA5BE0" w:rsidP="0052528E">
            <w:pPr>
              <w:pStyle w:val="TableTextLeft"/>
            </w:pPr>
            <w:r w:rsidRPr="00EA5BE0">
              <w:t>21. For patients undergoing transurethral resection of the prostate (TURP), the ASH guideline panel suggests against using pharmacological prophylaxis.</w:t>
            </w:r>
          </w:p>
        </w:tc>
        <w:tc>
          <w:tcPr>
            <w:tcW w:w="1890" w:type="dxa"/>
            <w:hideMark/>
          </w:tcPr>
          <w:p w14:paraId="6BF41CDC"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0F041D75"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5E303290"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6C2B7978" w14:textId="4CC64F10" w:rsidR="00EA5BE0" w:rsidRPr="00EA5BE0" w:rsidRDefault="00EA5BE0" w:rsidP="0052528E">
            <w:pPr>
              <w:pStyle w:val="TableTextLeft"/>
            </w:pPr>
            <w:r w:rsidRPr="00EA5BE0">
              <w:t>22. For the subset of patients undergoing TURP for whom</w:t>
            </w:r>
            <w:r w:rsidR="004779F4">
              <w:t xml:space="preserve"> </w:t>
            </w:r>
            <w:r w:rsidRPr="00EA5BE0">
              <w:t>pharmacological prophylaxis is used, the ASH guideline panel suggests using LMWH or UFH.</w:t>
            </w:r>
          </w:p>
        </w:tc>
        <w:tc>
          <w:tcPr>
            <w:tcW w:w="1890" w:type="dxa"/>
            <w:hideMark/>
          </w:tcPr>
          <w:p w14:paraId="5ADFE1F5"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59EC6D76"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3FB2B04F"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7A10B153" w14:textId="77777777" w:rsidR="00EA5BE0" w:rsidRPr="006048B5" w:rsidRDefault="00EA5BE0" w:rsidP="0052528E">
            <w:pPr>
              <w:pStyle w:val="TableRowHead"/>
            </w:pPr>
            <w:r w:rsidRPr="006048B5">
              <w:t xml:space="preserve">Guidelines Focused on Radical Prostatectomy </w:t>
            </w:r>
          </w:p>
        </w:tc>
        <w:tc>
          <w:tcPr>
            <w:tcW w:w="1890" w:type="dxa"/>
            <w:shd w:val="clear" w:color="auto" w:fill="0B2949" w:themeFill="accent1"/>
          </w:tcPr>
          <w:p w14:paraId="6D6FB662"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c>
          <w:tcPr>
            <w:tcW w:w="1255" w:type="dxa"/>
            <w:shd w:val="clear" w:color="auto" w:fill="0B2949" w:themeFill="accent1"/>
          </w:tcPr>
          <w:p w14:paraId="71B4C9E8"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r>
      <w:tr w:rsidR="00EA5BE0" w:rsidRPr="00EA5BE0" w14:paraId="6E0D5526"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4522973F" w14:textId="77777777" w:rsidR="00EA5BE0" w:rsidRPr="00EA5BE0" w:rsidRDefault="00EA5BE0" w:rsidP="0052528E">
            <w:pPr>
              <w:pStyle w:val="TableTextLeft"/>
            </w:pPr>
            <w:r w:rsidRPr="00EA5BE0">
              <w:t>23. For patients undergoing radical prostatectomy, the ASH guideline panel suggests against using pharmacological prophylaxis.</w:t>
            </w:r>
          </w:p>
        </w:tc>
        <w:tc>
          <w:tcPr>
            <w:tcW w:w="1890" w:type="dxa"/>
            <w:hideMark/>
          </w:tcPr>
          <w:p w14:paraId="5B112FD7"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3D6530C9"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27009627"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1088939C" w14:textId="77777777" w:rsidR="00EA5BE0" w:rsidRPr="00EA5BE0" w:rsidRDefault="00EA5BE0" w:rsidP="0052528E">
            <w:pPr>
              <w:pStyle w:val="TableTextLeft"/>
            </w:pPr>
            <w:r w:rsidRPr="00EA5BE0">
              <w:t>24. For patients undergoing radical prostatectomy in whom pharmacological prophylaxis is used, the ASH guideline panel suggests using LMWH or UFH.</w:t>
            </w:r>
          </w:p>
        </w:tc>
        <w:tc>
          <w:tcPr>
            <w:tcW w:w="1890" w:type="dxa"/>
            <w:hideMark/>
          </w:tcPr>
          <w:p w14:paraId="62938470"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504CA270"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0114021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5C8D2C7C" w14:textId="77777777" w:rsidR="00EA5BE0" w:rsidRPr="006048B5" w:rsidRDefault="00EA5BE0" w:rsidP="0052528E">
            <w:pPr>
              <w:pStyle w:val="TableRowHead"/>
            </w:pPr>
            <w:r w:rsidRPr="006048B5">
              <w:t>Guidelines Focused on Major Cardiac or Major Vascular Surgery</w:t>
            </w:r>
          </w:p>
        </w:tc>
        <w:tc>
          <w:tcPr>
            <w:tcW w:w="1890" w:type="dxa"/>
            <w:shd w:val="clear" w:color="auto" w:fill="0B2949" w:themeFill="accent1"/>
          </w:tcPr>
          <w:p w14:paraId="2EF0747A"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c>
          <w:tcPr>
            <w:tcW w:w="1255" w:type="dxa"/>
            <w:shd w:val="clear" w:color="auto" w:fill="0B2949" w:themeFill="accent1"/>
          </w:tcPr>
          <w:p w14:paraId="59B14795"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r>
      <w:tr w:rsidR="00EA5BE0" w:rsidRPr="00EA5BE0" w14:paraId="10328824"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77A1C3FC" w14:textId="77777777" w:rsidR="00EA5BE0" w:rsidRPr="00EA5BE0" w:rsidRDefault="00EA5BE0" w:rsidP="0052528E">
            <w:pPr>
              <w:pStyle w:val="TableTextLeft"/>
            </w:pPr>
            <w:r w:rsidRPr="00EA5BE0">
              <w:t>25. For patients undergoing cardiac or major vascular surgery, the ASH guideline panel suggests using pharmacological prophylaxis or no pharmacological prophylaxis.</w:t>
            </w:r>
          </w:p>
        </w:tc>
        <w:tc>
          <w:tcPr>
            <w:tcW w:w="1890" w:type="dxa"/>
            <w:hideMark/>
          </w:tcPr>
          <w:p w14:paraId="13E89642"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5CD91CCB"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7E195DF7"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7D9D923C" w14:textId="77777777" w:rsidR="00EA5BE0" w:rsidRPr="00EA5BE0" w:rsidRDefault="00EA5BE0" w:rsidP="0052528E">
            <w:pPr>
              <w:pStyle w:val="TableTextLeft"/>
            </w:pPr>
            <w:r w:rsidRPr="00EA5BE0">
              <w:t>26. For patients undergoing cardiac or major vascular surgery, when pharmacological prophylaxis is used, the panel suggests using LMWH or UFH.</w:t>
            </w:r>
          </w:p>
        </w:tc>
        <w:tc>
          <w:tcPr>
            <w:tcW w:w="1890" w:type="dxa"/>
            <w:hideMark/>
          </w:tcPr>
          <w:p w14:paraId="20FFFABD"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1742F0B7"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790DE49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2E36C37E" w14:textId="77777777" w:rsidR="00EA5BE0" w:rsidRPr="006048B5" w:rsidRDefault="00EA5BE0" w:rsidP="0052528E">
            <w:pPr>
              <w:pStyle w:val="TableRowHead"/>
            </w:pPr>
            <w:r w:rsidRPr="006048B5">
              <w:t>Guidelines Focused on Major Trauma</w:t>
            </w:r>
          </w:p>
        </w:tc>
        <w:tc>
          <w:tcPr>
            <w:tcW w:w="1890" w:type="dxa"/>
            <w:shd w:val="clear" w:color="auto" w:fill="0B2949" w:themeFill="accent1"/>
          </w:tcPr>
          <w:p w14:paraId="05F68EDF"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c>
          <w:tcPr>
            <w:tcW w:w="1255" w:type="dxa"/>
            <w:shd w:val="clear" w:color="auto" w:fill="0B2949" w:themeFill="accent1"/>
          </w:tcPr>
          <w:p w14:paraId="5ED3A92C"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r>
      <w:tr w:rsidR="00EA5BE0" w:rsidRPr="00EA5BE0" w14:paraId="321735A3"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25081688" w14:textId="77777777" w:rsidR="00EA5BE0" w:rsidRPr="00EA5BE0" w:rsidRDefault="00EA5BE0" w:rsidP="0052528E">
            <w:pPr>
              <w:pStyle w:val="TableTextLeft"/>
            </w:pPr>
            <w:r w:rsidRPr="00EA5BE0">
              <w:t>27a. For patients experiencing major trauma and who are at low to moderate risk for bleeding, the ASH guideline panel suggests using pharmacological prophylaxis over no pharmacological prophylaxis.</w:t>
            </w:r>
          </w:p>
        </w:tc>
        <w:tc>
          <w:tcPr>
            <w:tcW w:w="1890" w:type="dxa"/>
            <w:hideMark/>
          </w:tcPr>
          <w:p w14:paraId="42551B93"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560FAAC5"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724A923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3F718189" w14:textId="77777777" w:rsidR="00EA5BE0" w:rsidRPr="00EA5BE0" w:rsidRDefault="00EA5BE0" w:rsidP="0052528E">
            <w:pPr>
              <w:pStyle w:val="TableTextLeft"/>
            </w:pPr>
            <w:r w:rsidRPr="00EA5BE0">
              <w:t xml:space="preserve">27b. For patients experiencing major trauma and who are at high risk </w:t>
            </w:r>
            <w:proofErr w:type="gramStart"/>
            <w:r w:rsidRPr="00EA5BE0">
              <w:t>for</w:t>
            </w:r>
            <w:proofErr w:type="gramEnd"/>
            <w:r w:rsidRPr="00EA5BE0">
              <w:t xml:space="preserve"> bleeding, the ASH guideline panel </w:t>
            </w:r>
            <w:proofErr w:type="gramStart"/>
            <w:r w:rsidRPr="00EA5BE0">
              <w:t>suggests against</w:t>
            </w:r>
            <w:proofErr w:type="gramEnd"/>
            <w:r w:rsidRPr="00EA5BE0">
              <w:t xml:space="preserve"> pharmacological prophylaxis.</w:t>
            </w:r>
          </w:p>
        </w:tc>
        <w:tc>
          <w:tcPr>
            <w:tcW w:w="1890" w:type="dxa"/>
            <w:hideMark/>
          </w:tcPr>
          <w:p w14:paraId="00833E03"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45EEB961"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40CB3D29"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31D8DE7D" w14:textId="77777777" w:rsidR="00EA5BE0" w:rsidRPr="00EA5BE0" w:rsidRDefault="00EA5BE0" w:rsidP="0052528E">
            <w:pPr>
              <w:pStyle w:val="TableTextLeft"/>
            </w:pPr>
            <w:r w:rsidRPr="00EA5BE0">
              <w:t>28. For patients experiencing major trauma in whom pharmacological prophylaxis is used, the ASH guideline panel suggests using LMWH or UFH.</w:t>
            </w:r>
          </w:p>
        </w:tc>
        <w:tc>
          <w:tcPr>
            <w:tcW w:w="1890" w:type="dxa"/>
            <w:hideMark/>
          </w:tcPr>
          <w:p w14:paraId="67DC4164"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07C58D52"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755E5E28"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shd w:val="clear" w:color="auto" w:fill="0B2949" w:themeFill="accent1"/>
          </w:tcPr>
          <w:p w14:paraId="4FF6147A" w14:textId="60DD473E" w:rsidR="00EA5BE0" w:rsidRPr="006048B5" w:rsidRDefault="00EA5BE0" w:rsidP="0052528E">
            <w:pPr>
              <w:pStyle w:val="TableRowHead"/>
            </w:pPr>
            <w:r w:rsidRPr="006048B5">
              <w:lastRenderedPageBreak/>
              <w:t>Guidelines Focused on G</w:t>
            </w:r>
            <w:r w:rsidR="00AA2587">
              <w:t>ynecological</w:t>
            </w:r>
            <w:r w:rsidRPr="006048B5">
              <w:t xml:space="preserve"> Surgery</w:t>
            </w:r>
          </w:p>
        </w:tc>
        <w:tc>
          <w:tcPr>
            <w:tcW w:w="1890" w:type="dxa"/>
            <w:shd w:val="clear" w:color="auto" w:fill="0B2949" w:themeFill="accent1"/>
          </w:tcPr>
          <w:p w14:paraId="2E7C6A35"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c>
          <w:tcPr>
            <w:tcW w:w="1255" w:type="dxa"/>
            <w:shd w:val="clear" w:color="auto" w:fill="0B2949" w:themeFill="accent1"/>
          </w:tcPr>
          <w:p w14:paraId="76033D94" w14:textId="77777777" w:rsidR="00EA5BE0" w:rsidRPr="006048B5" w:rsidRDefault="00EA5BE0" w:rsidP="0052528E">
            <w:pPr>
              <w:pStyle w:val="TableRowHead"/>
              <w:cnfStyle w:val="000000000000" w:firstRow="0" w:lastRow="0" w:firstColumn="0" w:lastColumn="0" w:oddVBand="0" w:evenVBand="0" w:oddHBand="0" w:evenHBand="0" w:firstRowFirstColumn="0" w:firstRowLastColumn="0" w:lastRowFirstColumn="0" w:lastRowLastColumn="0"/>
            </w:pPr>
          </w:p>
        </w:tc>
      </w:tr>
      <w:tr w:rsidR="00EA5BE0" w:rsidRPr="00EA5BE0" w14:paraId="703A94AE"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404F2D6D" w14:textId="77777777" w:rsidR="00EA5BE0" w:rsidRPr="00EA5BE0" w:rsidRDefault="00EA5BE0" w:rsidP="0052528E">
            <w:pPr>
              <w:pStyle w:val="TableTextLeft"/>
            </w:pPr>
            <w:r w:rsidRPr="00EA5BE0">
              <w:t>29. For patients undergoing major gynecological surgery, the ASH guideline panel suggests using pharmacological prophylaxis over no pharmacological prophylaxis.</w:t>
            </w:r>
          </w:p>
        </w:tc>
        <w:tc>
          <w:tcPr>
            <w:tcW w:w="1890" w:type="dxa"/>
            <w:hideMark/>
          </w:tcPr>
          <w:p w14:paraId="388E830B"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4E460BAC"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r w:rsidR="00EA5BE0" w:rsidRPr="00EA5BE0" w14:paraId="04F35011"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10260" w:type="dxa"/>
            <w:hideMark/>
          </w:tcPr>
          <w:p w14:paraId="1266D731" w14:textId="77777777" w:rsidR="00EA5BE0" w:rsidRPr="00EA5BE0" w:rsidRDefault="00EA5BE0" w:rsidP="0052528E">
            <w:pPr>
              <w:pStyle w:val="TableTextLeft"/>
            </w:pPr>
            <w:r w:rsidRPr="00EA5BE0">
              <w:t>30. For patients undergoing major gynecological surgery, the ASH guideline panel suggests using LMWH or UFH.</w:t>
            </w:r>
          </w:p>
        </w:tc>
        <w:tc>
          <w:tcPr>
            <w:tcW w:w="1890" w:type="dxa"/>
            <w:hideMark/>
          </w:tcPr>
          <w:p w14:paraId="0E5A2F92"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Conditional Recommendation</w:t>
            </w:r>
          </w:p>
        </w:tc>
        <w:tc>
          <w:tcPr>
            <w:tcW w:w="1255" w:type="dxa"/>
            <w:hideMark/>
          </w:tcPr>
          <w:p w14:paraId="34DFB36E" w14:textId="77777777" w:rsidR="00EA5BE0" w:rsidRPr="00EA5BE0" w:rsidRDefault="00EA5BE0" w:rsidP="0052528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w:t>
            </w:r>
          </w:p>
        </w:tc>
      </w:tr>
    </w:tbl>
    <w:p w14:paraId="77B7F121" w14:textId="1726B807" w:rsidR="00EA5BE0" w:rsidRPr="00EA5BE0" w:rsidRDefault="002D125C" w:rsidP="00BE6C8E">
      <w:pPr>
        <w:pStyle w:val="H2"/>
        <w:rPr>
          <w:rFonts w:eastAsia="Times New Roman"/>
        </w:rPr>
      </w:pPr>
      <w:bookmarkStart w:id="18" w:name="_Toc159509363"/>
      <w:bookmarkStart w:id="19" w:name="_Toc195287985"/>
      <w:r>
        <w:rPr>
          <w:rFonts w:eastAsia="Times New Roman"/>
        </w:rPr>
        <w:t>5</w:t>
      </w:r>
      <w:r w:rsidR="00BE6C8E">
        <w:rPr>
          <w:rFonts w:eastAsia="Times New Roman"/>
        </w:rPr>
        <w:t>.</w:t>
      </w:r>
      <w:r w:rsidR="00EA5BE0" w:rsidRPr="00EA5BE0">
        <w:rPr>
          <w:rFonts w:eastAsia="Times New Roman"/>
          <w:szCs w:val="24"/>
        </w:rPr>
        <w:tab/>
      </w:r>
      <w:r w:rsidR="00EA5BE0" w:rsidRPr="00EA5BE0">
        <w:rPr>
          <w:rFonts w:eastAsia="Times New Roman"/>
        </w:rPr>
        <w:t>European Society of Anaesthesiology: 2018</w:t>
      </w:r>
      <w:bookmarkEnd w:id="18"/>
      <w:bookmarkEnd w:id="19"/>
    </w:p>
    <w:p w14:paraId="66AA8854" w14:textId="77777777" w:rsidR="00EA5BE0" w:rsidRPr="00762468" w:rsidRDefault="00EA5BE0" w:rsidP="00762468">
      <w:pPr>
        <w:pStyle w:val="Paragraph"/>
        <w:rPr>
          <w:rStyle w:val="Hyperlink"/>
        </w:rPr>
      </w:pPr>
      <w:hyperlink r:id="rId23" w:history="1">
        <w:r w:rsidRPr="00762468">
          <w:rPr>
            <w:rStyle w:val="Hyperlink"/>
          </w:rPr>
          <w:t>Samama, C. M., &amp; Afshari, A. (2018). European guidelines on perioperative venous thromboembolism prophylaxis. European Journal of Anaesthesiology, 35(2), 73–76. https://doi.org/10.1097/EJA.0000000000000702</w:t>
        </w:r>
      </w:hyperlink>
    </w:p>
    <w:p w14:paraId="373CFCC5" w14:textId="77777777" w:rsidR="00EA5BE0" w:rsidRPr="00A803F7" w:rsidRDefault="00EA5BE0" w:rsidP="00762468">
      <w:pPr>
        <w:pStyle w:val="Paragraph"/>
      </w:pPr>
      <w:r w:rsidRPr="00A803F7">
        <w:t xml:space="preserve">The European Society of Anaesthesiology (ESA) provides guidance via a series of clinical practice guidelines for perioperative venous thromboembolism prophylaxis. A task force was developed with seven ESA representatives and eight representatives from other European and international societies. There are twelve distinct chapters of this guideline, each focusing on a different patient population or clinical practice. Two of these chapters were excluded from this attachment as they do not pertain to the target population for this measure (pregnancy and postpartum and day and fast track surgery chapters).  The guideline is based on an update to the literature search conducted for the 2012 ACCP guidelines, and for those clinical questions that were not covered by the ACCP or other recently published guidelines with the same level of scientific robustness, separate search strategies were utilized covering citations of relevance published during the last 10 years. The primary target population varies by chapter, but in its entirety includes all surgical patients. </w:t>
      </w:r>
    </w:p>
    <w:p w14:paraId="39B9EDE1" w14:textId="58CA5C4C" w:rsidR="00EA5BE0" w:rsidRPr="00A803F7" w:rsidRDefault="00EA5BE0" w:rsidP="00762468">
      <w:pPr>
        <w:pStyle w:val="Paragraph"/>
      </w:pPr>
      <w:r w:rsidRPr="00A803F7">
        <w:t>The methodology for determining strength of recommendations (</w:t>
      </w:r>
      <w:r w:rsidRPr="00A803F7">
        <w:rPr>
          <w:b/>
          <w:bCs/>
        </w:rPr>
        <w:t>Table 1</w:t>
      </w:r>
      <w:r w:rsidR="00B8378B">
        <w:rPr>
          <w:b/>
          <w:bCs/>
        </w:rPr>
        <w:t>6</w:t>
      </w:r>
      <w:r w:rsidRPr="00A803F7">
        <w:t>) and strength of evidence (</w:t>
      </w:r>
      <w:r w:rsidRPr="00A803F7">
        <w:rPr>
          <w:b/>
          <w:bCs/>
        </w:rPr>
        <w:t>Tables 1</w:t>
      </w:r>
      <w:r w:rsidR="00B8378B">
        <w:rPr>
          <w:b/>
          <w:bCs/>
        </w:rPr>
        <w:t>7</w:t>
      </w:r>
      <w:r w:rsidRPr="00A803F7">
        <w:rPr>
          <w:b/>
          <w:bCs/>
        </w:rPr>
        <w:t xml:space="preserve"> and 1</w:t>
      </w:r>
      <w:r w:rsidR="00B8378B">
        <w:rPr>
          <w:b/>
          <w:bCs/>
        </w:rPr>
        <w:t>8</w:t>
      </w:r>
      <w:r w:rsidR="00DF7666" w:rsidRPr="00A803F7">
        <w:t>) is</w:t>
      </w:r>
      <w:r w:rsidRPr="00A803F7">
        <w:t xml:space="preserve"> based on the GRADE approach and presented below. The AGREE II tool (</w:t>
      </w:r>
      <w:r w:rsidRPr="00A803F7">
        <w:rPr>
          <w:b/>
          <w:bCs/>
        </w:rPr>
        <w:t>Tables 1</w:t>
      </w:r>
      <w:r w:rsidR="00B8378B">
        <w:rPr>
          <w:b/>
          <w:bCs/>
        </w:rPr>
        <w:t>9</w:t>
      </w:r>
      <w:r w:rsidRPr="00A803F7">
        <w:rPr>
          <w:b/>
          <w:bCs/>
        </w:rPr>
        <w:t xml:space="preserve"> and </w:t>
      </w:r>
      <w:r w:rsidR="00B8378B">
        <w:rPr>
          <w:b/>
          <w:bCs/>
        </w:rPr>
        <w:t>20</w:t>
      </w:r>
      <w:r w:rsidRPr="00A803F7">
        <w:t xml:space="preserve">) was additionally used to address the issue of variability and to evaluate the process of </w:t>
      </w:r>
      <w:proofErr w:type="gramStart"/>
      <w:r w:rsidRPr="00A803F7">
        <w:t>the guideline</w:t>
      </w:r>
      <w:proofErr w:type="gramEnd"/>
      <w:r w:rsidRPr="00A803F7">
        <w:t xml:space="preserve"> development and quality reporting. Following the methodology, a short summary of each chapter followed by key recommendations from each chapter that inform the proposed measure are included below (Sections 1.4.1 to 1.4.10). </w:t>
      </w:r>
    </w:p>
    <w:p w14:paraId="4D45CFEC" w14:textId="06B17E76" w:rsidR="00EA5BE0" w:rsidRPr="00A803F7" w:rsidRDefault="00EA5BE0" w:rsidP="00A803F7">
      <w:pPr>
        <w:spacing w:after="0" w:line="252" w:lineRule="auto"/>
        <w:rPr>
          <w:rFonts w:eastAsia="Calibri" w:cstheme="minorHAnsi"/>
          <w:color w:val="000000"/>
          <w:szCs w:val="20"/>
        </w:rPr>
      </w:pPr>
      <w:r w:rsidRPr="00A803F7">
        <w:rPr>
          <w:rFonts w:eastAsia="Calibri" w:cstheme="minorHAnsi"/>
          <w:color w:val="000000"/>
          <w:szCs w:val="20"/>
        </w:rPr>
        <w:t>Within each recommendation, the strength of recommendation is indicated as strong recommendation (1), or weak/conditional recommendation</w:t>
      </w:r>
      <w:r w:rsidR="00762468">
        <w:rPr>
          <w:rFonts w:eastAsia="Calibri" w:cstheme="minorHAnsi"/>
          <w:color w:val="000000"/>
          <w:szCs w:val="20"/>
        </w:rPr>
        <w:t> </w:t>
      </w:r>
      <w:r w:rsidRPr="00A803F7">
        <w:rPr>
          <w:rFonts w:eastAsia="Calibri" w:cstheme="minorHAnsi"/>
          <w:color w:val="000000"/>
          <w:szCs w:val="20"/>
        </w:rPr>
        <w:t>(2).</w:t>
      </w:r>
    </w:p>
    <w:p w14:paraId="4A9019C8" w14:textId="52300684" w:rsidR="00EA5BE0" w:rsidRPr="00EA5BE0" w:rsidRDefault="00EA5BE0" w:rsidP="00981C18">
      <w:pPr>
        <w:pStyle w:val="TableTitle"/>
        <w:rPr>
          <w:rFonts w:ascii="Calibri" w:eastAsia="Calibri" w:hAnsi="Calibri" w:cs="Calibri"/>
          <w:sz w:val="12"/>
          <w:szCs w:val="8"/>
        </w:rPr>
      </w:pPr>
      <w:r w:rsidRPr="00981C18">
        <w:rPr>
          <w:rFonts w:ascii="Calibri" w:hAnsi="Calibri" w:cs="Calibri"/>
          <w:b/>
          <w:bCs/>
          <w:sz w:val="24"/>
        </w:rPr>
        <w:t>Table 1</w:t>
      </w:r>
      <w:r w:rsidR="00B8378B" w:rsidRPr="00981C18">
        <w:rPr>
          <w:rFonts w:ascii="Calibri" w:hAnsi="Calibri" w:cs="Calibri"/>
          <w:b/>
          <w:bCs/>
          <w:sz w:val="24"/>
        </w:rPr>
        <w:t>6</w:t>
      </w:r>
      <w:r w:rsidR="00981C18" w:rsidRPr="00981C18">
        <w:rPr>
          <w:rFonts w:ascii="Calibri" w:hAnsi="Calibri" w:cs="Calibri"/>
          <w:b/>
          <w:bCs/>
          <w:sz w:val="24"/>
        </w:rPr>
        <w:t>.</w:t>
      </w:r>
      <w:r w:rsidRPr="00981C18">
        <w:rPr>
          <w:rFonts w:ascii="Calibri" w:hAnsi="Calibri" w:cs="Calibri"/>
          <w:b/>
          <w:bCs/>
          <w:sz w:val="24"/>
        </w:rPr>
        <w:t xml:space="preserve"> </w:t>
      </w:r>
      <w:r w:rsidRPr="00EA5BE0">
        <w:rPr>
          <w:rFonts w:ascii="Calibri" w:hAnsi="Calibri" w:cs="Calibri"/>
          <w:sz w:val="24"/>
        </w:rPr>
        <w:t>ESA (2018)</w:t>
      </w:r>
      <w:r w:rsidR="009B4B22">
        <w:rPr>
          <w:rFonts w:ascii="Calibri" w:hAnsi="Calibri" w:cs="Calibri"/>
          <w:sz w:val="24"/>
        </w:rPr>
        <w:t xml:space="preserve"> </w:t>
      </w:r>
      <w:r w:rsidRPr="00EA5BE0">
        <w:rPr>
          <w:rFonts w:ascii="Calibri" w:hAnsi="Calibri" w:cs="Calibri"/>
          <w:sz w:val="24"/>
        </w:rPr>
        <w:t>Strength of Recommendation Criteria (GRADE)</w:t>
      </w:r>
    </w:p>
    <w:tbl>
      <w:tblPr>
        <w:tblStyle w:val="AlternateTable"/>
        <w:tblW w:w="5000" w:type="pct"/>
        <w:tblLook w:val="04A0" w:firstRow="1" w:lastRow="0" w:firstColumn="1" w:lastColumn="0" w:noHBand="0" w:noVBand="1"/>
      </w:tblPr>
      <w:tblGrid>
        <w:gridCol w:w="2432"/>
        <w:gridCol w:w="2612"/>
        <w:gridCol w:w="7916"/>
      </w:tblGrid>
      <w:tr w:rsidR="00EA5BE0" w:rsidRPr="00EA5BE0" w14:paraId="2DB93029" w14:textId="77777777" w:rsidTr="002850A3">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2430" w:type="dxa"/>
            <w:vAlign w:val="bottom"/>
          </w:tcPr>
          <w:p w14:paraId="1539E434" w14:textId="77777777" w:rsidR="00EA5BE0" w:rsidRPr="00EA5BE0" w:rsidRDefault="00EA5BE0" w:rsidP="00197825">
            <w:pPr>
              <w:pStyle w:val="TableHeaderLeft"/>
              <w:rPr>
                <w:b w:val="0"/>
              </w:rPr>
            </w:pPr>
            <w:r w:rsidRPr="00EA5BE0">
              <w:t>Recommendation Grading</w:t>
            </w:r>
          </w:p>
        </w:tc>
        <w:tc>
          <w:tcPr>
            <w:tcW w:w="2610" w:type="dxa"/>
            <w:vAlign w:val="bottom"/>
            <w:hideMark/>
          </w:tcPr>
          <w:p w14:paraId="68F44A7F" w14:textId="77777777" w:rsidR="00EA5BE0" w:rsidRPr="00EA5BE0" w:rsidRDefault="00EA5BE0" w:rsidP="00197825">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Meaning</w:t>
            </w:r>
          </w:p>
        </w:tc>
        <w:tc>
          <w:tcPr>
            <w:tcW w:w="7910" w:type="dxa"/>
            <w:vAlign w:val="bottom"/>
            <w:hideMark/>
          </w:tcPr>
          <w:p w14:paraId="7EDADF65" w14:textId="77777777" w:rsidR="00EA5BE0" w:rsidRPr="00EA5BE0" w:rsidRDefault="00EA5BE0" w:rsidP="00197825">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Rationale</w:t>
            </w:r>
          </w:p>
        </w:tc>
      </w:tr>
      <w:tr w:rsidR="00EA5BE0" w:rsidRPr="00EA5BE0" w14:paraId="25EEA336"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430" w:type="dxa"/>
          </w:tcPr>
          <w:p w14:paraId="34796226" w14:textId="77777777" w:rsidR="00EA5BE0" w:rsidRPr="00EA5BE0" w:rsidRDefault="00EA5BE0" w:rsidP="00197825">
            <w:pPr>
              <w:pStyle w:val="TableTextLeft"/>
            </w:pPr>
            <w:r w:rsidRPr="00EA5BE0">
              <w:t>1</w:t>
            </w:r>
          </w:p>
        </w:tc>
        <w:tc>
          <w:tcPr>
            <w:tcW w:w="2610" w:type="dxa"/>
          </w:tcPr>
          <w:p w14:paraId="2FB709B2" w14:textId="77777777" w:rsidR="00EA5BE0" w:rsidRPr="00EA5BE0" w:rsidRDefault="00EA5BE0" w:rsidP="00197825">
            <w:pPr>
              <w:pStyle w:val="TableTextLeft"/>
              <w:cnfStyle w:val="000000000000" w:firstRow="0" w:lastRow="0" w:firstColumn="0" w:lastColumn="0" w:oddVBand="0" w:evenVBand="0" w:oddHBand="0" w:evenHBand="0" w:firstRowFirstColumn="0" w:firstRowLastColumn="0" w:lastRowFirstColumn="0" w:lastRowLastColumn="0"/>
            </w:pPr>
            <w:r w:rsidRPr="00EA5BE0">
              <w:t>Strong</w:t>
            </w:r>
          </w:p>
        </w:tc>
        <w:tc>
          <w:tcPr>
            <w:tcW w:w="7910" w:type="dxa"/>
          </w:tcPr>
          <w:p w14:paraId="1BFBCCDB" w14:textId="77777777" w:rsidR="00EA5BE0" w:rsidRPr="00EA5BE0" w:rsidRDefault="00EA5BE0" w:rsidP="00197825">
            <w:pPr>
              <w:pStyle w:val="TableTextLeft"/>
              <w:cnfStyle w:val="000000000000" w:firstRow="0" w:lastRow="0" w:firstColumn="0" w:lastColumn="0" w:oddVBand="0" w:evenVBand="0" w:oddHBand="0" w:evenHBand="0" w:firstRowFirstColumn="0" w:firstRowLastColumn="0" w:lastRowFirstColumn="0" w:lastRowLastColumn="0"/>
            </w:pPr>
            <w:r w:rsidRPr="00EA5BE0">
              <w:rPr>
                <w:rFonts w:eastAsia="Calibri"/>
                <w:shd w:val="clear" w:color="auto" w:fill="FFFFFF"/>
              </w:rPr>
              <w:t>The panel is highly confident of the balance between desirable and undesirable consequences. </w:t>
            </w:r>
          </w:p>
        </w:tc>
      </w:tr>
      <w:tr w:rsidR="00EA5BE0" w:rsidRPr="00EA5BE0" w14:paraId="58C8CBBF"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430" w:type="dxa"/>
          </w:tcPr>
          <w:p w14:paraId="4EF80431" w14:textId="77777777" w:rsidR="00EA5BE0" w:rsidRPr="00EA5BE0" w:rsidRDefault="00EA5BE0" w:rsidP="00197825">
            <w:pPr>
              <w:pStyle w:val="TableTextLeft"/>
            </w:pPr>
            <w:r w:rsidRPr="00EA5BE0">
              <w:t>2</w:t>
            </w:r>
          </w:p>
        </w:tc>
        <w:tc>
          <w:tcPr>
            <w:tcW w:w="2610" w:type="dxa"/>
          </w:tcPr>
          <w:p w14:paraId="1BC5A0C6" w14:textId="77777777" w:rsidR="00EA5BE0" w:rsidRPr="00EA5BE0" w:rsidRDefault="00EA5BE0" w:rsidP="00197825">
            <w:pPr>
              <w:pStyle w:val="TableTextLeft"/>
              <w:cnfStyle w:val="000000000000" w:firstRow="0" w:lastRow="0" w:firstColumn="0" w:lastColumn="0" w:oddVBand="0" w:evenVBand="0" w:oddHBand="0" w:evenHBand="0" w:firstRowFirstColumn="0" w:firstRowLastColumn="0" w:lastRowFirstColumn="0" w:lastRowLastColumn="0"/>
            </w:pPr>
            <w:r w:rsidRPr="00EA5BE0">
              <w:t>Weak/Conditional</w:t>
            </w:r>
          </w:p>
        </w:tc>
        <w:tc>
          <w:tcPr>
            <w:tcW w:w="7910" w:type="dxa"/>
          </w:tcPr>
          <w:p w14:paraId="07B57EA9" w14:textId="77777777" w:rsidR="00EA5BE0" w:rsidRPr="00EA5BE0" w:rsidRDefault="00EA5BE0" w:rsidP="00197825">
            <w:pPr>
              <w:pStyle w:val="TableTextLeft"/>
              <w:cnfStyle w:val="000000000000" w:firstRow="0" w:lastRow="0" w:firstColumn="0" w:lastColumn="0" w:oddVBand="0" w:evenVBand="0" w:oddHBand="0" w:evenHBand="0" w:firstRowFirstColumn="0" w:firstRowLastColumn="0" w:lastRowFirstColumn="0" w:lastRowLastColumn="0"/>
            </w:pPr>
            <w:r w:rsidRPr="00EA5BE0">
              <w:rPr>
                <w:rFonts w:eastAsia="Calibri"/>
                <w:shd w:val="clear" w:color="auto" w:fill="FFFFFF"/>
              </w:rPr>
              <w:t>The panel is less confident of the balance between desirable and undesirable consequences </w:t>
            </w:r>
          </w:p>
        </w:tc>
      </w:tr>
    </w:tbl>
    <w:p w14:paraId="09FED69B" w14:textId="77777777" w:rsidR="00EA5BE0" w:rsidRPr="00A803F7" w:rsidRDefault="00EA5BE0" w:rsidP="00BF659D">
      <w:pPr>
        <w:pStyle w:val="ParagraphContinued"/>
      </w:pPr>
      <w:r w:rsidRPr="00A803F7">
        <w:lastRenderedPageBreak/>
        <w:t xml:space="preserve">Within each recommendation, the quality of the supporting evidence is shown as high (A), moderate (B), or low/very low (C). </w:t>
      </w:r>
    </w:p>
    <w:p w14:paraId="264977DC" w14:textId="23CB09BB" w:rsidR="00EA5BE0" w:rsidRPr="00EA5BE0" w:rsidRDefault="00EA5BE0" w:rsidP="004361AF">
      <w:pPr>
        <w:pStyle w:val="TableTitle"/>
        <w:tabs>
          <w:tab w:val="left" w:pos="8177"/>
        </w:tabs>
        <w:rPr>
          <w:rFonts w:ascii="Calibri" w:eastAsia="Calibri" w:hAnsi="Calibri" w:cs="Calibri"/>
          <w:sz w:val="16"/>
          <w:szCs w:val="12"/>
        </w:rPr>
      </w:pPr>
      <w:r w:rsidRPr="004361AF">
        <w:rPr>
          <w:b/>
          <w:bCs/>
        </w:rPr>
        <w:t>Table 1</w:t>
      </w:r>
      <w:r w:rsidR="00B8378B" w:rsidRPr="004361AF">
        <w:rPr>
          <w:b/>
          <w:bCs/>
        </w:rPr>
        <w:t>7</w:t>
      </w:r>
      <w:r w:rsidR="004361AF" w:rsidRPr="004361AF">
        <w:rPr>
          <w:b/>
          <w:bCs/>
        </w:rPr>
        <w:t>.</w:t>
      </w:r>
      <w:r w:rsidRPr="00EA5BE0">
        <w:t xml:space="preserve"> ESA (2018)</w:t>
      </w:r>
      <w:r w:rsidR="009B4B22">
        <w:t xml:space="preserve"> </w:t>
      </w:r>
      <w:r w:rsidRPr="00EA5BE0">
        <w:t>Strength of Evidence Criteria (GRADE)</w:t>
      </w:r>
    </w:p>
    <w:tbl>
      <w:tblPr>
        <w:tblStyle w:val="AlternateTable"/>
        <w:tblW w:w="0" w:type="auto"/>
        <w:tblLook w:val="04A0" w:firstRow="1" w:lastRow="0" w:firstColumn="1" w:lastColumn="0" w:noHBand="0" w:noVBand="1"/>
      </w:tblPr>
      <w:tblGrid>
        <w:gridCol w:w="1800"/>
        <w:gridCol w:w="2070"/>
        <w:gridCol w:w="9080"/>
      </w:tblGrid>
      <w:tr w:rsidR="00EA5BE0" w:rsidRPr="00EA5BE0" w14:paraId="4714DA60" w14:textId="77777777" w:rsidTr="004361AF">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1800" w:type="dxa"/>
            <w:vAlign w:val="bottom"/>
          </w:tcPr>
          <w:p w14:paraId="6B87F7C7" w14:textId="77777777" w:rsidR="00EA5BE0" w:rsidRPr="00EA5BE0" w:rsidRDefault="00EA5BE0" w:rsidP="004361AF">
            <w:pPr>
              <w:pStyle w:val="TableHeaderLeft"/>
              <w:rPr>
                <w:b w:val="0"/>
              </w:rPr>
            </w:pPr>
            <w:r w:rsidRPr="00EA5BE0">
              <w:t>Evidence Grading</w:t>
            </w:r>
          </w:p>
        </w:tc>
        <w:tc>
          <w:tcPr>
            <w:tcW w:w="2070" w:type="dxa"/>
            <w:vAlign w:val="bottom"/>
            <w:hideMark/>
          </w:tcPr>
          <w:p w14:paraId="5A398AB9" w14:textId="77777777" w:rsidR="00EA5BE0" w:rsidRPr="00EA5BE0" w:rsidRDefault="00EA5BE0" w:rsidP="004361AF">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c>
          <w:tcPr>
            <w:tcW w:w="9080" w:type="dxa"/>
            <w:vAlign w:val="bottom"/>
            <w:hideMark/>
          </w:tcPr>
          <w:p w14:paraId="6C8BB7BE" w14:textId="77777777" w:rsidR="00EA5BE0" w:rsidRPr="00EA5BE0" w:rsidRDefault="00EA5BE0" w:rsidP="004361AF">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Rationale</w:t>
            </w:r>
          </w:p>
        </w:tc>
      </w:tr>
      <w:tr w:rsidR="00EA5BE0" w:rsidRPr="00EA5BE0" w14:paraId="43FA2AB7" w14:textId="77777777" w:rsidTr="004361AF">
        <w:trPr>
          <w:trHeight w:val="120"/>
        </w:trPr>
        <w:tc>
          <w:tcPr>
            <w:cnfStyle w:val="001000000000" w:firstRow="0" w:lastRow="0" w:firstColumn="1" w:lastColumn="0" w:oddVBand="0" w:evenVBand="0" w:oddHBand="0" w:evenHBand="0" w:firstRowFirstColumn="0" w:firstRowLastColumn="0" w:lastRowFirstColumn="0" w:lastRowLastColumn="0"/>
            <w:tcW w:w="1800" w:type="dxa"/>
          </w:tcPr>
          <w:p w14:paraId="060A7383" w14:textId="77777777" w:rsidR="00EA5BE0" w:rsidRPr="00EA5BE0" w:rsidRDefault="00EA5BE0" w:rsidP="004361AF">
            <w:pPr>
              <w:pStyle w:val="TableTextLeft"/>
            </w:pPr>
            <w:r w:rsidRPr="00EA5BE0">
              <w:t>A</w:t>
            </w:r>
          </w:p>
        </w:tc>
        <w:tc>
          <w:tcPr>
            <w:tcW w:w="2070" w:type="dxa"/>
          </w:tcPr>
          <w:p w14:paraId="59FE2BE0" w14:textId="77777777" w:rsidR="00EA5BE0" w:rsidRPr="00EA5BE0" w:rsidRDefault="00EA5BE0" w:rsidP="004361AF">
            <w:pPr>
              <w:pStyle w:val="TableTextLeft"/>
              <w:cnfStyle w:val="000000000000" w:firstRow="0" w:lastRow="0" w:firstColumn="0" w:lastColumn="0" w:oddVBand="0" w:evenVBand="0" w:oddHBand="0" w:evenHBand="0" w:firstRowFirstColumn="0" w:firstRowLastColumn="0" w:lastRowFirstColumn="0" w:lastRowLastColumn="0"/>
            </w:pPr>
            <w:r w:rsidRPr="00EA5BE0">
              <w:t>High</w:t>
            </w:r>
          </w:p>
        </w:tc>
        <w:tc>
          <w:tcPr>
            <w:tcW w:w="9080" w:type="dxa"/>
          </w:tcPr>
          <w:p w14:paraId="06E60E90" w14:textId="77777777" w:rsidR="00EA5BE0" w:rsidRPr="00EA5BE0" w:rsidRDefault="00EA5BE0" w:rsidP="004361AF">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4+  </w:t>
            </w:r>
          </w:p>
          <w:p w14:paraId="42C96A27" w14:textId="77777777" w:rsidR="00EA5BE0" w:rsidRPr="00EA5BE0" w:rsidRDefault="00EA5BE0" w:rsidP="004361AF">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We are very confident that the true effect lies close to that of the estimate of the effect.  </w:t>
            </w:r>
          </w:p>
        </w:tc>
      </w:tr>
      <w:tr w:rsidR="00EA5BE0" w:rsidRPr="00EA5BE0" w14:paraId="42499459" w14:textId="77777777" w:rsidTr="004361AF">
        <w:trPr>
          <w:trHeight w:val="120"/>
        </w:trPr>
        <w:tc>
          <w:tcPr>
            <w:cnfStyle w:val="001000000000" w:firstRow="0" w:lastRow="0" w:firstColumn="1" w:lastColumn="0" w:oddVBand="0" w:evenVBand="0" w:oddHBand="0" w:evenHBand="0" w:firstRowFirstColumn="0" w:firstRowLastColumn="0" w:lastRowFirstColumn="0" w:lastRowLastColumn="0"/>
            <w:tcW w:w="1800" w:type="dxa"/>
            <w:tcBorders>
              <w:bottom w:val="single" w:sz="4" w:space="0" w:color="5B6771" w:themeColor="accent3"/>
            </w:tcBorders>
          </w:tcPr>
          <w:p w14:paraId="6F45926F" w14:textId="77777777" w:rsidR="00EA5BE0" w:rsidRPr="00EA5BE0" w:rsidRDefault="00EA5BE0" w:rsidP="004361AF">
            <w:pPr>
              <w:pStyle w:val="TableTextLeft"/>
            </w:pPr>
            <w:r w:rsidRPr="00EA5BE0">
              <w:t>B</w:t>
            </w:r>
          </w:p>
        </w:tc>
        <w:tc>
          <w:tcPr>
            <w:tcW w:w="2070" w:type="dxa"/>
          </w:tcPr>
          <w:p w14:paraId="5B0F9200" w14:textId="77777777" w:rsidR="00EA5BE0" w:rsidRPr="00EA5BE0" w:rsidRDefault="00EA5BE0" w:rsidP="004361AF">
            <w:pPr>
              <w:pStyle w:val="TableTextLeft"/>
              <w:cnfStyle w:val="000000000000" w:firstRow="0" w:lastRow="0" w:firstColumn="0" w:lastColumn="0" w:oddVBand="0" w:evenVBand="0" w:oddHBand="0" w:evenHBand="0" w:firstRowFirstColumn="0" w:firstRowLastColumn="0" w:lastRowFirstColumn="0" w:lastRowLastColumn="0"/>
            </w:pPr>
            <w:r w:rsidRPr="00EA5BE0">
              <w:t>Moderate</w:t>
            </w:r>
          </w:p>
        </w:tc>
        <w:tc>
          <w:tcPr>
            <w:tcW w:w="9080" w:type="dxa"/>
          </w:tcPr>
          <w:p w14:paraId="7F60F691" w14:textId="77777777" w:rsidR="00EA5BE0" w:rsidRPr="00EA5BE0" w:rsidRDefault="00EA5BE0" w:rsidP="004361AF">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3+ </w:t>
            </w:r>
          </w:p>
          <w:p w14:paraId="45E02072" w14:textId="77777777" w:rsidR="00EA5BE0" w:rsidRPr="00EA5BE0" w:rsidRDefault="00EA5BE0" w:rsidP="004361AF">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We are moderately confident in the effect estimate: The true effect is likely to be close to the estimate of the effect, but there is a possibility that it is substantially different. </w:t>
            </w:r>
          </w:p>
        </w:tc>
      </w:tr>
      <w:tr w:rsidR="004361AF" w:rsidRPr="00EA5BE0" w14:paraId="5B0115D1" w14:textId="77777777" w:rsidTr="004361AF">
        <w:trPr>
          <w:trHeight w:val="120"/>
        </w:trPr>
        <w:tc>
          <w:tcPr>
            <w:cnfStyle w:val="001000000000" w:firstRow="0" w:lastRow="0" w:firstColumn="1" w:lastColumn="0" w:oddVBand="0" w:evenVBand="0" w:oddHBand="0" w:evenHBand="0" w:firstRowFirstColumn="0" w:firstRowLastColumn="0" w:lastRowFirstColumn="0" w:lastRowLastColumn="0"/>
            <w:tcW w:w="1800" w:type="dxa"/>
            <w:tcBorders>
              <w:top w:val="single" w:sz="4" w:space="0" w:color="5B6771" w:themeColor="accent3"/>
              <w:bottom w:val="nil"/>
            </w:tcBorders>
          </w:tcPr>
          <w:p w14:paraId="1BCCF97E" w14:textId="77777777" w:rsidR="004361AF" w:rsidRPr="00EA5BE0" w:rsidRDefault="004361AF" w:rsidP="004361AF">
            <w:pPr>
              <w:pStyle w:val="TableTextLeft"/>
            </w:pPr>
            <w:r w:rsidRPr="00EA5BE0">
              <w:t>C</w:t>
            </w:r>
          </w:p>
        </w:tc>
        <w:tc>
          <w:tcPr>
            <w:tcW w:w="2070" w:type="dxa"/>
          </w:tcPr>
          <w:p w14:paraId="218C247A" w14:textId="77777777" w:rsidR="004361AF" w:rsidRPr="00EA5BE0" w:rsidRDefault="004361AF" w:rsidP="004361AF">
            <w:pPr>
              <w:pStyle w:val="TableTextLeft"/>
              <w:cnfStyle w:val="000000000000" w:firstRow="0" w:lastRow="0" w:firstColumn="0" w:lastColumn="0" w:oddVBand="0" w:evenVBand="0" w:oddHBand="0" w:evenHBand="0" w:firstRowFirstColumn="0" w:firstRowLastColumn="0" w:lastRowFirstColumn="0" w:lastRowLastColumn="0"/>
            </w:pPr>
            <w:r w:rsidRPr="00EA5BE0">
              <w:t>Low</w:t>
            </w:r>
          </w:p>
        </w:tc>
        <w:tc>
          <w:tcPr>
            <w:tcW w:w="9080" w:type="dxa"/>
          </w:tcPr>
          <w:p w14:paraId="18601DA9" w14:textId="77777777" w:rsidR="004361AF" w:rsidRPr="00EA5BE0" w:rsidRDefault="004361AF" w:rsidP="004361AF">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2+ </w:t>
            </w:r>
          </w:p>
          <w:p w14:paraId="3A5E9EDB" w14:textId="77777777" w:rsidR="004361AF" w:rsidRPr="00EA5BE0" w:rsidRDefault="004361AF" w:rsidP="004361AF">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Our confidence in the effect estimate is limited: The true effect may be substantially different from the estimate of the effect.  </w:t>
            </w:r>
          </w:p>
        </w:tc>
      </w:tr>
      <w:tr w:rsidR="004361AF" w:rsidRPr="00EA5BE0" w14:paraId="4F0843C9" w14:textId="77777777" w:rsidTr="004361AF">
        <w:trPr>
          <w:trHeight w:val="120"/>
        </w:trPr>
        <w:tc>
          <w:tcPr>
            <w:cnfStyle w:val="001000000000" w:firstRow="0" w:lastRow="0" w:firstColumn="1" w:lastColumn="0" w:oddVBand="0" w:evenVBand="0" w:oddHBand="0" w:evenHBand="0" w:firstRowFirstColumn="0" w:firstRowLastColumn="0" w:lastRowFirstColumn="0" w:lastRowLastColumn="0"/>
            <w:tcW w:w="1800" w:type="dxa"/>
            <w:tcBorders>
              <w:top w:val="nil"/>
              <w:bottom w:val="single" w:sz="4" w:space="0" w:color="046B5C" w:themeColor="text2"/>
            </w:tcBorders>
          </w:tcPr>
          <w:p w14:paraId="53AEE018" w14:textId="77777777" w:rsidR="004361AF" w:rsidRPr="00EA5BE0" w:rsidRDefault="004361AF" w:rsidP="004361AF">
            <w:pPr>
              <w:pStyle w:val="TableTextLeft"/>
            </w:pPr>
          </w:p>
        </w:tc>
        <w:tc>
          <w:tcPr>
            <w:tcW w:w="2070" w:type="dxa"/>
          </w:tcPr>
          <w:p w14:paraId="76D7EB82" w14:textId="77777777" w:rsidR="004361AF" w:rsidRPr="00EA5BE0" w:rsidRDefault="004361AF" w:rsidP="004361AF">
            <w:pPr>
              <w:pStyle w:val="TableTextLeft"/>
              <w:cnfStyle w:val="000000000000" w:firstRow="0" w:lastRow="0" w:firstColumn="0" w:lastColumn="0" w:oddVBand="0" w:evenVBand="0" w:oddHBand="0" w:evenHBand="0" w:firstRowFirstColumn="0" w:firstRowLastColumn="0" w:lastRowFirstColumn="0" w:lastRowLastColumn="0"/>
            </w:pPr>
            <w:r w:rsidRPr="00EA5BE0">
              <w:t>Very Low</w:t>
            </w:r>
          </w:p>
        </w:tc>
        <w:tc>
          <w:tcPr>
            <w:tcW w:w="9080" w:type="dxa"/>
          </w:tcPr>
          <w:p w14:paraId="5472BE8E" w14:textId="77777777" w:rsidR="004361AF" w:rsidRPr="00EA5BE0" w:rsidRDefault="004361AF" w:rsidP="004361AF">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The quality of the body of evidence is rated as 1+ </w:t>
            </w:r>
          </w:p>
          <w:p w14:paraId="51052FD1" w14:textId="77777777" w:rsidR="004361AF" w:rsidRPr="00EA5BE0" w:rsidRDefault="004361AF" w:rsidP="004361AF">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We have very little confidence in the effect of the estimate: The true effect is likely to be substantially different from the estimate of the effect. </w:t>
            </w:r>
          </w:p>
        </w:tc>
      </w:tr>
    </w:tbl>
    <w:p w14:paraId="7E4E3F6F" w14:textId="1996ADAA" w:rsidR="00EA4531" w:rsidRDefault="00EA5BE0" w:rsidP="00BF659D">
      <w:pPr>
        <w:pStyle w:val="ParagraphContinued"/>
      </w:pPr>
      <w:r w:rsidRPr="00BD6EC9">
        <w:t>Additionally, the level of evidence also indicates the quality of the body of evidence used to inform the recommendations.</w:t>
      </w:r>
    </w:p>
    <w:p w14:paraId="44910E07" w14:textId="77777777" w:rsidR="00EA4531" w:rsidRDefault="00EA4531">
      <w:pPr>
        <w:spacing w:after="160" w:line="259" w:lineRule="auto"/>
      </w:pPr>
      <w:r>
        <w:br w:type="page"/>
      </w:r>
    </w:p>
    <w:p w14:paraId="4DE8C683" w14:textId="44BB43B1" w:rsidR="00EA5BE0" w:rsidRPr="00EA5BE0" w:rsidRDefault="00EA5BE0" w:rsidP="00BD6EC9">
      <w:pPr>
        <w:pStyle w:val="TableTitle"/>
      </w:pPr>
      <w:r w:rsidRPr="00B03D3C">
        <w:rPr>
          <w:b/>
          <w:bCs/>
        </w:rPr>
        <w:lastRenderedPageBreak/>
        <w:t>Table 1</w:t>
      </w:r>
      <w:r w:rsidR="00B8378B" w:rsidRPr="00B03D3C">
        <w:rPr>
          <w:b/>
          <w:bCs/>
        </w:rPr>
        <w:t>8</w:t>
      </w:r>
      <w:r w:rsidR="004361AF" w:rsidRPr="00B03D3C">
        <w:rPr>
          <w:b/>
          <w:bCs/>
        </w:rPr>
        <w:t>.</w:t>
      </w:r>
      <w:r w:rsidRPr="00B03D3C">
        <w:rPr>
          <w:b/>
          <w:bCs/>
        </w:rPr>
        <w:t xml:space="preserve"> </w:t>
      </w:r>
      <w:r w:rsidRPr="00B03D3C">
        <w:t>ESA (2018) Level of Evidence Criteria (GRADE)</w:t>
      </w:r>
    </w:p>
    <w:tbl>
      <w:tblPr>
        <w:tblStyle w:val="AlternateTable"/>
        <w:tblW w:w="5000" w:type="pct"/>
        <w:tblLook w:val="04A0" w:firstRow="1" w:lastRow="0" w:firstColumn="1" w:lastColumn="0" w:noHBand="0" w:noVBand="1"/>
      </w:tblPr>
      <w:tblGrid>
        <w:gridCol w:w="2183"/>
        <w:gridCol w:w="3236"/>
        <w:gridCol w:w="4109"/>
        <w:gridCol w:w="3432"/>
      </w:tblGrid>
      <w:tr w:rsidR="00EA5BE0" w:rsidRPr="00EA5BE0" w14:paraId="3BCA70FF" w14:textId="77777777" w:rsidTr="00EA45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83" w:type="dxa"/>
            <w:vAlign w:val="bottom"/>
            <w:hideMark/>
          </w:tcPr>
          <w:p w14:paraId="07291DA1" w14:textId="046C79C6" w:rsidR="00EA5BE0" w:rsidRPr="00EA5BE0" w:rsidRDefault="00EA5BE0" w:rsidP="00B03D3C">
            <w:pPr>
              <w:pStyle w:val="TableHeaderLeft"/>
              <w:rPr>
                <w:rFonts w:ascii="Segoe UI" w:hAnsi="Segoe UI" w:cs="Segoe UI"/>
                <w:szCs w:val="18"/>
              </w:rPr>
            </w:pPr>
            <w:r w:rsidRPr="00EA5BE0">
              <w:t>Study Design </w:t>
            </w:r>
          </w:p>
        </w:tc>
        <w:tc>
          <w:tcPr>
            <w:tcW w:w="3236" w:type="dxa"/>
            <w:vAlign w:val="bottom"/>
            <w:hideMark/>
          </w:tcPr>
          <w:p w14:paraId="4F62619C" w14:textId="77777777" w:rsidR="00EA5BE0" w:rsidRPr="00EA5BE0" w:rsidRDefault="00EA5BE0" w:rsidP="00B03D3C">
            <w:pPr>
              <w:pStyle w:val="TableHeaderCenter"/>
              <w:cnfStyle w:val="100000000000" w:firstRow="1" w:lastRow="0" w:firstColumn="0" w:lastColumn="0" w:oddVBand="0" w:evenVBand="0" w:oddHBand="0" w:evenHBand="0" w:firstRowFirstColumn="0" w:firstRowLastColumn="0" w:lastRowFirstColumn="0" w:lastRowLastColumn="0"/>
              <w:rPr>
                <w:rFonts w:ascii="Segoe UI" w:hAnsi="Segoe UI" w:cs="Segoe UI"/>
                <w:szCs w:val="18"/>
              </w:rPr>
            </w:pPr>
            <w:r w:rsidRPr="00EA5BE0">
              <w:t>Initial quality of a body of evidence </w:t>
            </w:r>
          </w:p>
        </w:tc>
        <w:tc>
          <w:tcPr>
            <w:tcW w:w="4109" w:type="dxa"/>
            <w:vAlign w:val="bottom"/>
            <w:hideMark/>
          </w:tcPr>
          <w:p w14:paraId="0C477963" w14:textId="77777777" w:rsidR="00EA5BE0" w:rsidRPr="00EA5BE0" w:rsidRDefault="00EA5BE0" w:rsidP="00B03D3C">
            <w:pPr>
              <w:pStyle w:val="TableHeaderCenter"/>
              <w:cnfStyle w:val="100000000000" w:firstRow="1" w:lastRow="0" w:firstColumn="0" w:lastColumn="0" w:oddVBand="0" w:evenVBand="0" w:oddHBand="0" w:evenHBand="0" w:firstRowFirstColumn="0" w:firstRowLastColumn="0" w:lastRowFirstColumn="0" w:lastRowLastColumn="0"/>
              <w:rPr>
                <w:rFonts w:ascii="Segoe UI" w:hAnsi="Segoe UI" w:cs="Segoe UI"/>
                <w:szCs w:val="18"/>
              </w:rPr>
            </w:pPr>
            <w:r w:rsidRPr="00EA5BE0">
              <w:t>Lower if </w:t>
            </w:r>
          </w:p>
        </w:tc>
        <w:tc>
          <w:tcPr>
            <w:tcW w:w="3432" w:type="dxa"/>
            <w:vAlign w:val="bottom"/>
            <w:hideMark/>
          </w:tcPr>
          <w:p w14:paraId="2D088B08" w14:textId="77777777" w:rsidR="00EA5BE0" w:rsidRPr="00EA5BE0" w:rsidRDefault="00EA5BE0" w:rsidP="00B03D3C">
            <w:pPr>
              <w:pStyle w:val="TableHeaderCenter"/>
              <w:cnfStyle w:val="100000000000" w:firstRow="1" w:lastRow="0" w:firstColumn="0" w:lastColumn="0" w:oddVBand="0" w:evenVBand="0" w:oddHBand="0" w:evenHBand="0" w:firstRowFirstColumn="0" w:firstRowLastColumn="0" w:lastRowFirstColumn="0" w:lastRowLastColumn="0"/>
              <w:rPr>
                <w:rFonts w:ascii="Segoe UI" w:hAnsi="Segoe UI" w:cs="Segoe UI"/>
                <w:szCs w:val="18"/>
              </w:rPr>
            </w:pPr>
            <w:r w:rsidRPr="00EA5BE0">
              <w:t>Higher if </w:t>
            </w:r>
          </w:p>
        </w:tc>
      </w:tr>
      <w:tr w:rsidR="00B03D3C" w:rsidRPr="00EA5BE0" w14:paraId="1A91F599" w14:textId="77777777" w:rsidTr="00EA4531">
        <w:tc>
          <w:tcPr>
            <w:cnfStyle w:val="001000000000" w:firstRow="0" w:lastRow="0" w:firstColumn="1" w:lastColumn="0" w:oddVBand="0" w:evenVBand="0" w:oddHBand="0" w:evenHBand="0" w:firstRowFirstColumn="0" w:firstRowLastColumn="0" w:lastRowFirstColumn="0" w:lastRowLastColumn="0"/>
            <w:tcW w:w="2183" w:type="dxa"/>
          </w:tcPr>
          <w:p w14:paraId="0571C371" w14:textId="32833EBB" w:rsidR="00B03D3C" w:rsidRPr="00EA5BE0" w:rsidRDefault="00B03D3C" w:rsidP="00B03D3C">
            <w:pPr>
              <w:pStyle w:val="TableTextLeft"/>
            </w:pPr>
            <w:r w:rsidRPr="00EA5BE0">
              <w:t>Randomized Trials </w:t>
            </w:r>
          </w:p>
        </w:tc>
        <w:tc>
          <w:tcPr>
            <w:tcW w:w="3236" w:type="dxa"/>
          </w:tcPr>
          <w:p w14:paraId="78638C2E" w14:textId="700A5EE0" w:rsidR="00B03D3C" w:rsidRPr="00EA5BE0" w:rsidRDefault="00B03D3C" w:rsidP="00B03D3C">
            <w:pPr>
              <w:pStyle w:val="TableTextLeft"/>
              <w:cnfStyle w:val="000000000000" w:firstRow="0" w:lastRow="0" w:firstColumn="0" w:lastColumn="0" w:oddVBand="0" w:evenVBand="0" w:oddHBand="0" w:evenHBand="0" w:firstRowFirstColumn="0" w:firstRowLastColumn="0" w:lastRowFirstColumn="0" w:lastRowLastColumn="0"/>
            </w:pPr>
            <w:r w:rsidRPr="00EA5BE0">
              <w:t>High </w:t>
            </w:r>
          </w:p>
        </w:tc>
        <w:tc>
          <w:tcPr>
            <w:tcW w:w="4109" w:type="dxa"/>
            <w:tcBorders>
              <w:top w:val="single" w:sz="4" w:space="0" w:color="046B5C" w:themeColor="text2"/>
              <w:bottom w:val="nil"/>
            </w:tcBorders>
          </w:tcPr>
          <w:p w14:paraId="24F95C45" w14:textId="77777777" w:rsidR="00B03D3C" w:rsidRPr="00EA5BE0" w:rsidRDefault="00B03D3C" w:rsidP="00B03D3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Risk of bias </w:t>
            </w:r>
          </w:p>
          <w:p w14:paraId="0D557A71" w14:textId="77777777"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serious </w:t>
            </w:r>
          </w:p>
          <w:p w14:paraId="2346FD72" w14:textId="77777777"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serious </w:t>
            </w:r>
          </w:p>
          <w:p w14:paraId="7575C152" w14:textId="77777777" w:rsidR="00B03D3C" w:rsidRPr="00EA5BE0" w:rsidRDefault="00B03D3C" w:rsidP="00B03D3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Inconsistency </w:t>
            </w:r>
          </w:p>
          <w:p w14:paraId="41866EDC" w14:textId="77777777"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serious </w:t>
            </w:r>
          </w:p>
          <w:p w14:paraId="1E05C184" w14:textId="266BA78F"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pPr>
            <w:r w:rsidRPr="00EA5BE0">
              <w:t>-2 very serious </w:t>
            </w:r>
          </w:p>
        </w:tc>
        <w:tc>
          <w:tcPr>
            <w:tcW w:w="3432" w:type="dxa"/>
            <w:tcBorders>
              <w:top w:val="single" w:sz="4" w:space="0" w:color="046B5C" w:themeColor="text2"/>
              <w:bottom w:val="nil"/>
            </w:tcBorders>
          </w:tcPr>
          <w:p w14:paraId="7597A6D3" w14:textId="77777777" w:rsidR="00B03D3C" w:rsidRPr="00EA5BE0" w:rsidRDefault="00B03D3C" w:rsidP="00B03D3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Large effect </w:t>
            </w:r>
          </w:p>
          <w:p w14:paraId="55E7ED27" w14:textId="77777777"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large </w:t>
            </w:r>
          </w:p>
          <w:p w14:paraId="3D81DECA" w14:textId="77777777"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large </w:t>
            </w:r>
          </w:p>
          <w:p w14:paraId="3A4CBB42" w14:textId="77777777" w:rsidR="00B03D3C" w:rsidRPr="00EA5BE0" w:rsidRDefault="00B03D3C" w:rsidP="00B03D3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Dose response </w:t>
            </w:r>
          </w:p>
          <w:p w14:paraId="5DDDA1B8" w14:textId="22D26E9C" w:rsidR="00B03D3C" w:rsidRPr="00EA5BE0" w:rsidRDefault="00B03D3C" w:rsidP="00EA4531">
            <w:pPr>
              <w:pStyle w:val="TableTextIndent"/>
              <w:cnfStyle w:val="000000000000" w:firstRow="0" w:lastRow="0" w:firstColumn="0" w:lastColumn="0" w:oddVBand="0" w:evenVBand="0" w:oddHBand="0" w:evenHBand="0" w:firstRowFirstColumn="0" w:firstRowLastColumn="0" w:lastRowFirstColumn="0" w:lastRowLastColumn="0"/>
            </w:pPr>
            <w:r w:rsidRPr="00EA5BE0">
              <w:t>+1 Evidence of a gradient </w:t>
            </w:r>
          </w:p>
        </w:tc>
      </w:tr>
      <w:tr w:rsidR="00B03D3C" w:rsidRPr="00EA5BE0" w14:paraId="7BA07129" w14:textId="77777777" w:rsidTr="00EA4531">
        <w:tc>
          <w:tcPr>
            <w:cnfStyle w:val="001000000000" w:firstRow="0" w:lastRow="0" w:firstColumn="1" w:lastColumn="0" w:oddVBand="0" w:evenVBand="0" w:oddHBand="0" w:evenHBand="0" w:firstRowFirstColumn="0" w:firstRowLastColumn="0" w:lastRowFirstColumn="0" w:lastRowLastColumn="0"/>
            <w:tcW w:w="2183" w:type="dxa"/>
          </w:tcPr>
          <w:p w14:paraId="35497875" w14:textId="21B50BA8" w:rsidR="00B03D3C" w:rsidRPr="00EA5BE0" w:rsidRDefault="00EA4531" w:rsidP="00B03D3C">
            <w:pPr>
              <w:pStyle w:val="TableTextLeft"/>
            </w:pPr>
            <w:r w:rsidRPr="00EA5BE0">
              <w:t>Observational Studies </w:t>
            </w:r>
          </w:p>
        </w:tc>
        <w:tc>
          <w:tcPr>
            <w:tcW w:w="3236" w:type="dxa"/>
          </w:tcPr>
          <w:p w14:paraId="5E9F00EF" w14:textId="6A906F57" w:rsidR="00B03D3C" w:rsidRPr="00EA5BE0" w:rsidRDefault="00EA4531" w:rsidP="00B03D3C">
            <w:pPr>
              <w:pStyle w:val="TableTextLeft"/>
              <w:cnfStyle w:val="000000000000" w:firstRow="0" w:lastRow="0" w:firstColumn="0" w:lastColumn="0" w:oddVBand="0" w:evenVBand="0" w:oddHBand="0" w:evenHBand="0" w:firstRowFirstColumn="0" w:firstRowLastColumn="0" w:lastRowFirstColumn="0" w:lastRowLastColumn="0"/>
            </w:pPr>
            <w:r w:rsidRPr="00EA5BE0">
              <w:t>Low </w:t>
            </w:r>
          </w:p>
        </w:tc>
        <w:tc>
          <w:tcPr>
            <w:tcW w:w="4109" w:type="dxa"/>
            <w:tcBorders>
              <w:top w:val="nil"/>
              <w:bottom w:val="single" w:sz="4" w:space="0" w:color="046B5C" w:themeColor="text2"/>
            </w:tcBorders>
          </w:tcPr>
          <w:p w14:paraId="16E9552B" w14:textId="77777777" w:rsidR="00B03D3C" w:rsidRDefault="00B03D3C" w:rsidP="00B03D3C">
            <w:pPr>
              <w:pStyle w:val="TableTextLeft"/>
              <w:cnfStyle w:val="000000000000" w:firstRow="0" w:lastRow="0" w:firstColumn="0" w:lastColumn="0" w:oddVBand="0" w:evenVBand="0" w:oddHBand="0" w:evenHBand="0" w:firstRowFirstColumn="0" w:firstRowLastColumn="0" w:lastRowFirstColumn="0" w:lastRowLastColumn="0"/>
            </w:pPr>
            <w:r w:rsidRPr="00EA5BE0">
              <w:t>Indirectness </w:t>
            </w:r>
          </w:p>
          <w:p w14:paraId="2E2D2830" w14:textId="13782304"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t>-</w:t>
            </w:r>
            <w:r w:rsidRPr="00EA5BE0">
              <w:t>1 serious </w:t>
            </w:r>
          </w:p>
          <w:p w14:paraId="156B8258" w14:textId="77777777"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serious </w:t>
            </w:r>
          </w:p>
          <w:p w14:paraId="587439B1" w14:textId="77777777" w:rsidR="00B03D3C" w:rsidRPr="00EA5BE0" w:rsidRDefault="00B03D3C" w:rsidP="00B03D3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Imprecision </w:t>
            </w:r>
          </w:p>
          <w:p w14:paraId="7DD61F54" w14:textId="77777777"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serious </w:t>
            </w:r>
          </w:p>
          <w:p w14:paraId="1A7CC62A" w14:textId="77777777"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-2 very serious </w:t>
            </w:r>
          </w:p>
          <w:p w14:paraId="3FCAFB6B" w14:textId="77777777" w:rsidR="00B03D3C" w:rsidRPr="00EA5BE0" w:rsidRDefault="00B03D3C" w:rsidP="00B03D3C">
            <w:pPr>
              <w:pStyle w:val="TableTextLef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Publication bias </w:t>
            </w:r>
          </w:p>
          <w:p w14:paraId="691C209E" w14:textId="77777777"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-1 likely </w:t>
            </w:r>
          </w:p>
          <w:p w14:paraId="14F3C843" w14:textId="771C4B0D"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pPr>
            <w:r w:rsidRPr="00EA5BE0">
              <w:t>-2 very likely</w:t>
            </w:r>
          </w:p>
        </w:tc>
        <w:tc>
          <w:tcPr>
            <w:tcW w:w="3432" w:type="dxa"/>
            <w:tcBorders>
              <w:top w:val="nil"/>
              <w:bottom w:val="single" w:sz="4" w:space="0" w:color="046B5C" w:themeColor="text2"/>
            </w:tcBorders>
          </w:tcPr>
          <w:p w14:paraId="30F2F6CA" w14:textId="33E5F930" w:rsidR="00B03D3C" w:rsidRDefault="00B03D3C" w:rsidP="00B03D3C">
            <w:pPr>
              <w:pStyle w:val="TableTextLeft"/>
              <w:cnfStyle w:val="000000000000" w:firstRow="0" w:lastRow="0" w:firstColumn="0" w:lastColumn="0" w:oddVBand="0" w:evenVBand="0" w:oddHBand="0" w:evenHBand="0" w:firstRowFirstColumn="0" w:firstRowLastColumn="0" w:lastRowFirstColumn="0" w:lastRowLastColumn="0"/>
            </w:pPr>
            <w:r w:rsidRPr="00EA5BE0">
              <w:t>All plausible residual confounding </w:t>
            </w:r>
          </w:p>
          <w:p w14:paraId="46E6A8B9" w14:textId="49F401B9"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rPr>
                <w:rFonts w:ascii="Segoe UI" w:hAnsi="Segoe UI" w:cs="Segoe UI"/>
                <w:szCs w:val="18"/>
              </w:rPr>
            </w:pPr>
            <w:r w:rsidRPr="00EA5BE0">
              <w:t xml:space="preserve">+1 would reduce </w:t>
            </w:r>
            <w:proofErr w:type="gramStart"/>
            <w:r w:rsidRPr="00EA5BE0">
              <w:t>a demonstrated</w:t>
            </w:r>
            <w:proofErr w:type="gramEnd"/>
            <w:r w:rsidRPr="00EA5BE0">
              <w:t xml:space="preserve"> effect </w:t>
            </w:r>
          </w:p>
          <w:p w14:paraId="67567A58" w14:textId="19E38F0F" w:rsidR="00B03D3C" w:rsidRPr="00EA5BE0" w:rsidRDefault="00B03D3C" w:rsidP="00B03D3C">
            <w:pPr>
              <w:pStyle w:val="TableTextIndent"/>
              <w:cnfStyle w:val="000000000000" w:firstRow="0" w:lastRow="0" w:firstColumn="0" w:lastColumn="0" w:oddVBand="0" w:evenVBand="0" w:oddHBand="0" w:evenHBand="0" w:firstRowFirstColumn="0" w:firstRowLastColumn="0" w:lastRowFirstColumn="0" w:lastRowLastColumn="0"/>
            </w:pPr>
            <w:r w:rsidRPr="00EA5BE0">
              <w:t>+1 would suggest a spurious effect if no effect was observed </w:t>
            </w:r>
          </w:p>
        </w:tc>
      </w:tr>
    </w:tbl>
    <w:p w14:paraId="74CF3E74" w14:textId="77777777" w:rsidR="00EA5BE0" w:rsidRPr="00BD6EC9" w:rsidRDefault="00EA5BE0" w:rsidP="00EA5BE0">
      <w:pPr>
        <w:suppressAutoHyphens/>
        <w:spacing w:before="240" w:after="120" w:line="276" w:lineRule="auto"/>
        <w:rPr>
          <w:rFonts w:eastAsia="Calibri" w:cstheme="minorHAnsi"/>
          <w:szCs w:val="20"/>
        </w:rPr>
      </w:pPr>
      <w:r w:rsidRPr="00BD6EC9">
        <w:rPr>
          <w:rFonts w:eastAsia="Calibri" w:cstheme="minorHAnsi"/>
          <w:szCs w:val="20"/>
        </w:rPr>
        <w:t>The AGREE II tool was also utilized to assess overall guideline quality. The AGREE II tool has 23 questions within 6 domains that are rated on a scale of 1 (strongly disagree) to 7 (strongly agree).  The quality of the overall guideline is then determined using this scale where 1 indicates the lowest possible quality and 7 indicates the highest possible quality.</w:t>
      </w:r>
    </w:p>
    <w:p w14:paraId="4D9BCCC5" w14:textId="3FE8B884" w:rsidR="00EA5BE0" w:rsidRPr="00EA5BE0" w:rsidRDefault="00EA5BE0" w:rsidP="00DF7666">
      <w:pPr>
        <w:pStyle w:val="TableTitle"/>
      </w:pPr>
      <w:r w:rsidRPr="0052528E">
        <w:rPr>
          <w:b/>
          <w:bCs/>
        </w:rPr>
        <w:t>Table 1</w:t>
      </w:r>
      <w:r w:rsidR="00B8378B" w:rsidRPr="0052528E">
        <w:rPr>
          <w:b/>
          <w:bCs/>
        </w:rPr>
        <w:t>9</w:t>
      </w:r>
      <w:r w:rsidR="0052528E" w:rsidRPr="0052528E">
        <w:rPr>
          <w:b/>
          <w:bCs/>
        </w:rPr>
        <w:t>.</w:t>
      </w:r>
      <w:r w:rsidRPr="0052528E">
        <w:rPr>
          <w:b/>
          <w:bCs/>
        </w:rPr>
        <w:t xml:space="preserve"> </w:t>
      </w:r>
      <w:r w:rsidRPr="00EA5BE0">
        <w:t>ESA (2018)</w:t>
      </w:r>
      <w:r w:rsidR="00D37E2C">
        <w:t xml:space="preserve"> </w:t>
      </w:r>
      <w:r w:rsidRPr="00EA5BE0">
        <w:t>Guideline Quality Assessment (AGREE II)</w:t>
      </w:r>
    </w:p>
    <w:tbl>
      <w:tblPr>
        <w:tblStyle w:val="AlternateTable"/>
        <w:tblW w:w="5000" w:type="pct"/>
        <w:tblLook w:val="04A0" w:firstRow="1" w:lastRow="0" w:firstColumn="1" w:lastColumn="0" w:noHBand="0" w:noVBand="1"/>
      </w:tblPr>
      <w:tblGrid>
        <w:gridCol w:w="2517"/>
        <w:gridCol w:w="10443"/>
      </w:tblGrid>
      <w:tr w:rsidR="00EA5BE0" w:rsidRPr="00EA5BE0" w14:paraId="78D8A4BD" w14:textId="77777777" w:rsidTr="002850A3">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2500" w:type="dxa"/>
            <w:noWrap/>
            <w:vAlign w:val="bottom"/>
            <w:hideMark/>
          </w:tcPr>
          <w:p w14:paraId="6D0B794E" w14:textId="77777777" w:rsidR="00EA5BE0" w:rsidRPr="00EA5BE0" w:rsidRDefault="00EA5BE0" w:rsidP="00767A70">
            <w:pPr>
              <w:pStyle w:val="TableHeaderLeft"/>
              <w:rPr>
                <w:b w:val="0"/>
              </w:rPr>
            </w:pPr>
            <w:r w:rsidRPr="00EA5BE0">
              <w:t>Domain</w:t>
            </w:r>
          </w:p>
        </w:tc>
        <w:tc>
          <w:tcPr>
            <w:tcW w:w="10370" w:type="dxa"/>
            <w:noWrap/>
            <w:vAlign w:val="bottom"/>
            <w:hideMark/>
          </w:tcPr>
          <w:p w14:paraId="6C399A12" w14:textId="77777777" w:rsidR="00EA5BE0" w:rsidRPr="00EA5BE0" w:rsidRDefault="00EA5BE0" w:rsidP="00767A70">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Item</w:t>
            </w:r>
          </w:p>
        </w:tc>
      </w:tr>
      <w:tr w:rsidR="00767A70" w:rsidRPr="00EA5BE0" w14:paraId="12002D13"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single" w:sz="4" w:space="0" w:color="046B5C" w:themeColor="text2"/>
              <w:bottom w:val="nil"/>
            </w:tcBorders>
            <w:noWrap/>
            <w:hideMark/>
          </w:tcPr>
          <w:p w14:paraId="2A34DEC6" w14:textId="77777777" w:rsidR="00767A70" w:rsidRPr="00EA5BE0" w:rsidRDefault="00767A70" w:rsidP="00767A70">
            <w:pPr>
              <w:pStyle w:val="TableTextLeft"/>
            </w:pPr>
            <w:r w:rsidRPr="00EA5BE0">
              <w:t>Scope and Purpose</w:t>
            </w:r>
          </w:p>
        </w:tc>
        <w:tc>
          <w:tcPr>
            <w:tcW w:w="10370" w:type="dxa"/>
            <w:noWrap/>
            <w:hideMark/>
          </w:tcPr>
          <w:p w14:paraId="49530C00"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overall objective(s) is (are) specifically described</w:t>
            </w:r>
          </w:p>
        </w:tc>
      </w:tr>
      <w:tr w:rsidR="00767A70" w:rsidRPr="00EA5BE0" w14:paraId="4C929913"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nil"/>
            </w:tcBorders>
            <w:hideMark/>
          </w:tcPr>
          <w:p w14:paraId="2BCDF9E9" w14:textId="77777777" w:rsidR="00767A70" w:rsidRPr="00EA5BE0" w:rsidRDefault="00767A70" w:rsidP="00767A70">
            <w:pPr>
              <w:pStyle w:val="TableTextLeft"/>
            </w:pPr>
          </w:p>
        </w:tc>
        <w:tc>
          <w:tcPr>
            <w:tcW w:w="10370" w:type="dxa"/>
            <w:noWrap/>
            <w:hideMark/>
          </w:tcPr>
          <w:p w14:paraId="17F9287A" w14:textId="61188493"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health questions(s) covered by the guideline is (are</w:t>
            </w:r>
            <w:r>
              <w:t>)</w:t>
            </w:r>
            <w:r w:rsidRPr="00EA5BE0">
              <w:t xml:space="preserve"> specifically described</w:t>
            </w:r>
          </w:p>
        </w:tc>
      </w:tr>
      <w:tr w:rsidR="00767A70" w:rsidRPr="00EA5BE0" w14:paraId="25CE282C"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single" w:sz="4" w:space="0" w:color="5B6771" w:themeColor="accent3"/>
            </w:tcBorders>
            <w:hideMark/>
          </w:tcPr>
          <w:p w14:paraId="2F07560E" w14:textId="77777777" w:rsidR="00767A70" w:rsidRPr="00EA5BE0" w:rsidRDefault="00767A70" w:rsidP="00767A70">
            <w:pPr>
              <w:pStyle w:val="TableTextLeft"/>
            </w:pPr>
          </w:p>
        </w:tc>
        <w:tc>
          <w:tcPr>
            <w:tcW w:w="10370" w:type="dxa"/>
            <w:noWrap/>
            <w:hideMark/>
          </w:tcPr>
          <w:p w14:paraId="477D1CFE"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population (patients, public, etc.) to whom the guideline is meant to apply is specifically described</w:t>
            </w:r>
          </w:p>
        </w:tc>
      </w:tr>
      <w:tr w:rsidR="00767A70" w:rsidRPr="00EA5BE0" w14:paraId="4538D32F"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single" w:sz="4" w:space="0" w:color="5B6771" w:themeColor="accent3"/>
              <w:bottom w:val="nil"/>
            </w:tcBorders>
            <w:noWrap/>
            <w:hideMark/>
          </w:tcPr>
          <w:p w14:paraId="70E7E909" w14:textId="77777777" w:rsidR="00767A70" w:rsidRPr="00EA5BE0" w:rsidRDefault="00767A70" w:rsidP="00767A70">
            <w:pPr>
              <w:pStyle w:val="TableTextLeft"/>
            </w:pPr>
            <w:r w:rsidRPr="00EA5BE0">
              <w:t>Stakeholder Involvement</w:t>
            </w:r>
          </w:p>
        </w:tc>
        <w:tc>
          <w:tcPr>
            <w:tcW w:w="10370" w:type="dxa"/>
            <w:noWrap/>
            <w:hideMark/>
          </w:tcPr>
          <w:p w14:paraId="0BE4024C" w14:textId="52DA1DA8"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 xml:space="preserve">The guideline development group includes individuals from all </w:t>
            </w:r>
            <w:r>
              <w:t>t</w:t>
            </w:r>
            <w:r w:rsidRPr="00EA5BE0">
              <w:t>he relevant professional groups</w:t>
            </w:r>
          </w:p>
        </w:tc>
      </w:tr>
      <w:tr w:rsidR="00767A70" w:rsidRPr="00EA5BE0" w14:paraId="4D1D46B5"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nil"/>
            </w:tcBorders>
            <w:hideMark/>
          </w:tcPr>
          <w:p w14:paraId="300A870B" w14:textId="77777777" w:rsidR="00767A70" w:rsidRPr="00EA5BE0" w:rsidRDefault="00767A70" w:rsidP="00767A70">
            <w:pPr>
              <w:pStyle w:val="TableTextLeft"/>
            </w:pPr>
          </w:p>
        </w:tc>
        <w:tc>
          <w:tcPr>
            <w:tcW w:w="10370" w:type="dxa"/>
            <w:noWrap/>
            <w:hideMark/>
          </w:tcPr>
          <w:p w14:paraId="1EEB8A17"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views and preferences of the target population (patients, public, etc.) have been sought</w:t>
            </w:r>
          </w:p>
        </w:tc>
      </w:tr>
      <w:tr w:rsidR="00767A70" w:rsidRPr="00EA5BE0" w14:paraId="36F457DF"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single" w:sz="4" w:space="0" w:color="5B6771" w:themeColor="accent3"/>
            </w:tcBorders>
            <w:hideMark/>
          </w:tcPr>
          <w:p w14:paraId="772E69FD" w14:textId="77777777" w:rsidR="00767A70" w:rsidRPr="00EA5BE0" w:rsidRDefault="00767A70" w:rsidP="00767A70">
            <w:pPr>
              <w:pStyle w:val="TableTextLeft"/>
            </w:pPr>
          </w:p>
        </w:tc>
        <w:tc>
          <w:tcPr>
            <w:tcW w:w="10370" w:type="dxa"/>
            <w:noWrap/>
            <w:hideMark/>
          </w:tcPr>
          <w:p w14:paraId="4AA4FFC0"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target users of the guideline are clearly defined</w:t>
            </w:r>
          </w:p>
        </w:tc>
      </w:tr>
      <w:tr w:rsidR="00767A70" w:rsidRPr="00EA5BE0" w14:paraId="5C167A22"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single" w:sz="4" w:space="0" w:color="5B6771" w:themeColor="accent3"/>
              <w:bottom w:val="nil"/>
            </w:tcBorders>
            <w:noWrap/>
            <w:hideMark/>
          </w:tcPr>
          <w:p w14:paraId="56DBC7CC" w14:textId="77777777" w:rsidR="00767A70" w:rsidRPr="00EA5BE0" w:rsidRDefault="00767A70" w:rsidP="0052528E">
            <w:pPr>
              <w:pStyle w:val="TableTextLeft"/>
              <w:keepNext/>
            </w:pPr>
            <w:r w:rsidRPr="00EA5BE0">
              <w:lastRenderedPageBreak/>
              <w:t>Rigor of Development</w:t>
            </w:r>
          </w:p>
        </w:tc>
        <w:tc>
          <w:tcPr>
            <w:tcW w:w="10370" w:type="dxa"/>
            <w:noWrap/>
            <w:hideMark/>
          </w:tcPr>
          <w:p w14:paraId="488CC961" w14:textId="77777777" w:rsidR="00767A70" w:rsidRPr="00EA5BE0" w:rsidRDefault="00767A70" w:rsidP="0052528E">
            <w:pPr>
              <w:pStyle w:val="TableTextLeft"/>
              <w:keepNext/>
              <w:cnfStyle w:val="000000000000" w:firstRow="0" w:lastRow="0" w:firstColumn="0" w:lastColumn="0" w:oddVBand="0" w:evenVBand="0" w:oddHBand="0" w:evenHBand="0" w:firstRowFirstColumn="0" w:firstRowLastColumn="0" w:lastRowFirstColumn="0" w:lastRowLastColumn="0"/>
            </w:pPr>
            <w:r w:rsidRPr="00EA5BE0">
              <w:t>Systematic methods were used to search for evidence</w:t>
            </w:r>
          </w:p>
        </w:tc>
      </w:tr>
      <w:tr w:rsidR="00767A70" w:rsidRPr="00EA5BE0" w14:paraId="774064D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nil"/>
            </w:tcBorders>
            <w:hideMark/>
          </w:tcPr>
          <w:p w14:paraId="655859C5" w14:textId="77777777" w:rsidR="00767A70" w:rsidRPr="00EA5BE0" w:rsidRDefault="00767A70" w:rsidP="00767A70">
            <w:pPr>
              <w:pStyle w:val="TableTextLeft"/>
            </w:pPr>
          </w:p>
        </w:tc>
        <w:tc>
          <w:tcPr>
            <w:tcW w:w="10370" w:type="dxa"/>
            <w:noWrap/>
            <w:hideMark/>
          </w:tcPr>
          <w:p w14:paraId="0978B83B"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criteria for selecting the evidence are clearly described</w:t>
            </w:r>
          </w:p>
        </w:tc>
      </w:tr>
      <w:tr w:rsidR="00767A70" w:rsidRPr="00EA5BE0" w14:paraId="3F805780"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nil"/>
            </w:tcBorders>
            <w:hideMark/>
          </w:tcPr>
          <w:p w14:paraId="7C6A12F3" w14:textId="77777777" w:rsidR="00767A70" w:rsidRPr="00EA5BE0" w:rsidRDefault="00767A70" w:rsidP="00767A70">
            <w:pPr>
              <w:pStyle w:val="TableTextLeft"/>
            </w:pPr>
          </w:p>
        </w:tc>
        <w:tc>
          <w:tcPr>
            <w:tcW w:w="10370" w:type="dxa"/>
            <w:hideMark/>
          </w:tcPr>
          <w:p w14:paraId="0C65FBFA"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strengths and limitations of the body of evidence are clearly described</w:t>
            </w:r>
          </w:p>
        </w:tc>
      </w:tr>
      <w:tr w:rsidR="00767A70" w:rsidRPr="00EA5BE0" w14:paraId="33EED538"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nil"/>
            </w:tcBorders>
            <w:hideMark/>
          </w:tcPr>
          <w:p w14:paraId="39A98D63" w14:textId="77777777" w:rsidR="00767A70" w:rsidRPr="00EA5BE0" w:rsidRDefault="00767A70" w:rsidP="00767A70">
            <w:pPr>
              <w:pStyle w:val="TableTextLeft"/>
            </w:pPr>
          </w:p>
        </w:tc>
        <w:tc>
          <w:tcPr>
            <w:tcW w:w="10370" w:type="dxa"/>
            <w:hideMark/>
          </w:tcPr>
          <w:p w14:paraId="38A1D82C"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methods for formulating the recommendations are clearly described</w:t>
            </w:r>
          </w:p>
        </w:tc>
      </w:tr>
      <w:tr w:rsidR="00767A70" w:rsidRPr="00EA5BE0" w14:paraId="12737D1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nil"/>
            </w:tcBorders>
            <w:hideMark/>
          </w:tcPr>
          <w:p w14:paraId="6C7698E3" w14:textId="77777777" w:rsidR="00767A70" w:rsidRPr="00EA5BE0" w:rsidRDefault="00767A70" w:rsidP="00767A70">
            <w:pPr>
              <w:pStyle w:val="TableTextLeft"/>
            </w:pPr>
          </w:p>
        </w:tc>
        <w:tc>
          <w:tcPr>
            <w:tcW w:w="10370" w:type="dxa"/>
            <w:noWrap/>
            <w:hideMark/>
          </w:tcPr>
          <w:p w14:paraId="1CD42A9D"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health benefits, side effects, and risks have been considered in formulating the recommendations</w:t>
            </w:r>
          </w:p>
        </w:tc>
      </w:tr>
      <w:tr w:rsidR="00767A70" w:rsidRPr="00EA5BE0" w14:paraId="4A1083DB"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nil"/>
            </w:tcBorders>
            <w:hideMark/>
          </w:tcPr>
          <w:p w14:paraId="73937E39" w14:textId="77777777" w:rsidR="00767A70" w:rsidRPr="00EA5BE0" w:rsidRDefault="00767A70" w:rsidP="00767A70">
            <w:pPr>
              <w:pStyle w:val="TableTextLeft"/>
            </w:pPr>
          </w:p>
        </w:tc>
        <w:tc>
          <w:tcPr>
            <w:tcW w:w="10370" w:type="dxa"/>
            <w:noWrap/>
            <w:hideMark/>
          </w:tcPr>
          <w:p w14:paraId="7C5E55DA"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There is an explicit link between the recommendations and the supporting evidence</w:t>
            </w:r>
          </w:p>
        </w:tc>
      </w:tr>
      <w:tr w:rsidR="00767A70" w:rsidRPr="00EA5BE0" w14:paraId="2C8C5C5E"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nil"/>
            </w:tcBorders>
            <w:hideMark/>
          </w:tcPr>
          <w:p w14:paraId="769F458B" w14:textId="77777777" w:rsidR="00767A70" w:rsidRPr="00EA5BE0" w:rsidRDefault="00767A70" w:rsidP="00767A70">
            <w:pPr>
              <w:pStyle w:val="TableTextLeft"/>
            </w:pPr>
          </w:p>
        </w:tc>
        <w:tc>
          <w:tcPr>
            <w:tcW w:w="10370" w:type="dxa"/>
            <w:noWrap/>
            <w:hideMark/>
          </w:tcPr>
          <w:p w14:paraId="573BCF4B"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 xml:space="preserve">The </w:t>
            </w:r>
            <w:proofErr w:type="gramStart"/>
            <w:r w:rsidRPr="00EA5BE0">
              <w:t>guideline has</w:t>
            </w:r>
            <w:proofErr w:type="gramEnd"/>
            <w:r w:rsidRPr="00EA5BE0">
              <w:t xml:space="preserve"> been externally reviewed by experts prior to its publication</w:t>
            </w:r>
          </w:p>
        </w:tc>
      </w:tr>
      <w:tr w:rsidR="00767A70" w:rsidRPr="00EA5BE0" w14:paraId="0BAA4F82"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single" w:sz="4" w:space="0" w:color="5B6771" w:themeColor="accent3"/>
            </w:tcBorders>
            <w:hideMark/>
          </w:tcPr>
          <w:p w14:paraId="1FC0601C" w14:textId="77777777" w:rsidR="00767A70" w:rsidRPr="00EA5BE0" w:rsidRDefault="00767A70" w:rsidP="00767A70">
            <w:pPr>
              <w:pStyle w:val="TableTextLeft"/>
            </w:pPr>
          </w:p>
        </w:tc>
        <w:tc>
          <w:tcPr>
            <w:tcW w:w="10370" w:type="dxa"/>
            <w:noWrap/>
            <w:hideMark/>
          </w:tcPr>
          <w:p w14:paraId="3233E378"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A procedure for updating the guideline is provided</w:t>
            </w:r>
          </w:p>
        </w:tc>
      </w:tr>
      <w:tr w:rsidR="00767A70" w:rsidRPr="00EA5BE0" w14:paraId="56ED4A15"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single" w:sz="4" w:space="0" w:color="5B6771" w:themeColor="accent3"/>
              <w:bottom w:val="nil"/>
            </w:tcBorders>
            <w:noWrap/>
            <w:hideMark/>
          </w:tcPr>
          <w:p w14:paraId="1FB8EAB2" w14:textId="77777777" w:rsidR="00767A70" w:rsidRPr="00EA5BE0" w:rsidRDefault="00767A70" w:rsidP="00767A70">
            <w:pPr>
              <w:pStyle w:val="TableTextLeft"/>
            </w:pPr>
            <w:r w:rsidRPr="00EA5BE0">
              <w:t>Clarity of Presentation</w:t>
            </w:r>
          </w:p>
        </w:tc>
        <w:tc>
          <w:tcPr>
            <w:tcW w:w="10370" w:type="dxa"/>
            <w:noWrap/>
            <w:hideMark/>
          </w:tcPr>
          <w:p w14:paraId="1410788C"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recommendations are specific and unambiguous</w:t>
            </w:r>
          </w:p>
        </w:tc>
      </w:tr>
      <w:tr w:rsidR="00767A70" w:rsidRPr="00EA5BE0" w14:paraId="0D8C756C"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nil"/>
            </w:tcBorders>
            <w:hideMark/>
          </w:tcPr>
          <w:p w14:paraId="683FDC72" w14:textId="77777777" w:rsidR="00767A70" w:rsidRPr="00EA5BE0" w:rsidRDefault="00767A70" w:rsidP="00767A70">
            <w:pPr>
              <w:pStyle w:val="TableTextLeft"/>
            </w:pPr>
          </w:p>
        </w:tc>
        <w:tc>
          <w:tcPr>
            <w:tcW w:w="10370" w:type="dxa"/>
            <w:noWrap/>
            <w:hideMark/>
          </w:tcPr>
          <w:p w14:paraId="74F8F2ED"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different options for management of the condition or health issue are clearly presented</w:t>
            </w:r>
          </w:p>
        </w:tc>
      </w:tr>
      <w:tr w:rsidR="00767A70" w:rsidRPr="00EA5BE0" w14:paraId="6B6D2225"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single" w:sz="4" w:space="0" w:color="5B6771" w:themeColor="accent3"/>
            </w:tcBorders>
            <w:hideMark/>
          </w:tcPr>
          <w:p w14:paraId="60816582" w14:textId="77777777" w:rsidR="00767A70" w:rsidRPr="00EA5BE0" w:rsidRDefault="00767A70" w:rsidP="00767A70">
            <w:pPr>
              <w:pStyle w:val="TableTextLeft"/>
            </w:pPr>
          </w:p>
        </w:tc>
        <w:tc>
          <w:tcPr>
            <w:tcW w:w="10370" w:type="dxa"/>
            <w:noWrap/>
            <w:hideMark/>
          </w:tcPr>
          <w:p w14:paraId="5F200BAF"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Key recommendations are easily identifiable</w:t>
            </w:r>
          </w:p>
        </w:tc>
      </w:tr>
      <w:tr w:rsidR="00767A70" w:rsidRPr="00EA5BE0" w14:paraId="7FA9323F"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single" w:sz="4" w:space="0" w:color="5B6771" w:themeColor="accent3"/>
              <w:bottom w:val="nil"/>
            </w:tcBorders>
            <w:noWrap/>
            <w:hideMark/>
          </w:tcPr>
          <w:p w14:paraId="54C3E305" w14:textId="77777777" w:rsidR="00767A70" w:rsidRPr="00EA5BE0" w:rsidRDefault="00767A70" w:rsidP="00767A70">
            <w:pPr>
              <w:pStyle w:val="TableTextLeft"/>
            </w:pPr>
            <w:r w:rsidRPr="00EA5BE0">
              <w:t>Applicability</w:t>
            </w:r>
          </w:p>
        </w:tc>
        <w:tc>
          <w:tcPr>
            <w:tcW w:w="10370" w:type="dxa"/>
            <w:noWrap/>
            <w:hideMark/>
          </w:tcPr>
          <w:p w14:paraId="79E92123"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guideline describes facilitators and barriers to its application</w:t>
            </w:r>
          </w:p>
        </w:tc>
      </w:tr>
      <w:tr w:rsidR="00767A70" w:rsidRPr="00EA5BE0" w14:paraId="251748B0"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nil"/>
            </w:tcBorders>
            <w:hideMark/>
          </w:tcPr>
          <w:p w14:paraId="18F9A8E1" w14:textId="77777777" w:rsidR="00767A70" w:rsidRPr="00EA5BE0" w:rsidRDefault="00767A70" w:rsidP="00767A70">
            <w:pPr>
              <w:pStyle w:val="TableTextLeft"/>
            </w:pPr>
          </w:p>
        </w:tc>
        <w:tc>
          <w:tcPr>
            <w:tcW w:w="10370" w:type="dxa"/>
            <w:noWrap/>
            <w:hideMark/>
          </w:tcPr>
          <w:p w14:paraId="3CD07B4F"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guideline provides advice and/or tools on how the recommendations can be put into practice</w:t>
            </w:r>
          </w:p>
        </w:tc>
      </w:tr>
      <w:tr w:rsidR="00767A70" w:rsidRPr="00EA5BE0" w14:paraId="1B185B74"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nil"/>
            </w:tcBorders>
            <w:hideMark/>
          </w:tcPr>
          <w:p w14:paraId="094C4A41" w14:textId="77777777" w:rsidR="00767A70" w:rsidRPr="00EA5BE0" w:rsidRDefault="00767A70" w:rsidP="00767A70">
            <w:pPr>
              <w:pStyle w:val="TableTextLeft"/>
            </w:pPr>
          </w:p>
        </w:tc>
        <w:tc>
          <w:tcPr>
            <w:tcW w:w="10370" w:type="dxa"/>
            <w:hideMark/>
          </w:tcPr>
          <w:p w14:paraId="4EC94993"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potential resource implications of applying the recommendations have been considered</w:t>
            </w:r>
          </w:p>
        </w:tc>
      </w:tr>
      <w:tr w:rsidR="00767A70" w:rsidRPr="00EA5BE0" w14:paraId="3FB48D9D"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single" w:sz="4" w:space="0" w:color="5B6771" w:themeColor="accent3"/>
            </w:tcBorders>
            <w:hideMark/>
          </w:tcPr>
          <w:p w14:paraId="10793CD2" w14:textId="77777777" w:rsidR="00767A70" w:rsidRPr="00EA5BE0" w:rsidRDefault="00767A70" w:rsidP="00767A70">
            <w:pPr>
              <w:pStyle w:val="TableTextLeft"/>
            </w:pPr>
          </w:p>
        </w:tc>
        <w:tc>
          <w:tcPr>
            <w:tcW w:w="10370" w:type="dxa"/>
            <w:noWrap/>
            <w:hideMark/>
          </w:tcPr>
          <w:p w14:paraId="161F094D"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guideline presents monitoring and/or auditing criteria</w:t>
            </w:r>
          </w:p>
        </w:tc>
      </w:tr>
      <w:tr w:rsidR="00767A70" w:rsidRPr="00EA5BE0" w14:paraId="6ED14E0E"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single" w:sz="4" w:space="0" w:color="5B6771" w:themeColor="accent3"/>
              <w:bottom w:val="nil"/>
            </w:tcBorders>
            <w:noWrap/>
            <w:hideMark/>
          </w:tcPr>
          <w:p w14:paraId="0CA9942F" w14:textId="77777777" w:rsidR="00767A70" w:rsidRPr="00EA5BE0" w:rsidRDefault="00767A70" w:rsidP="00767A70">
            <w:pPr>
              <w:pStyle w:val="TableTextLeft"/>
            </w:pPr>
            <w:r w:rsidRPr="00EA5BE0">
              <w:t>Editorial Independence</w:t>
            </w:r>
          </w:p>
        </w:tc>
        <w:tc>
          <w:tcPr>
            <w:tcW w:w="10370" w:type="dxa"/>
            <w:hideMark/>
          </w:tcPr>
          <w:p w14:paraId="60A681E0"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The views of the funding body have not influenced the content of the guideline</w:t>
            </w:r>
          </w:p>
        </w:tc>
      </w:tr>
      <w:tr w:rsidR="00767A70" w:rsidRPr="00EA5BE0" w14:paraId="1B440C91" w14:textId="77777777" w:rsidTr="002850A3">
        <w:trPr>
          <w:trHeight w:val="120"/>
        </w:trPr>
        <w:tc>
          <w:tcPr>
            <w:cnfStyle w:val="001000000000" w:firstRow="0" w:lastRow="0" w:firstColumn="1" w:lastColumn="0" w:oddVBand="0" w:evenVBand="0" w:oddHBand="0" w:evenHBand="0" w:firstRowFirstColumn="0" w:firstRowLastColumn="0" w:lastRowFirstColumn="0" w:lastRowLastColumn="0"/>
            <w:tcW w:w="2500" w:type="dxa"/>
            <w:tcBorders>
              <w:top w:val="nil"/>
              <w:bottom w:val="single" w:sz="4" w:space="0" w:color="5B6771" w:themeColor="accent3"/>
            </w:tcBorders>
            <w:hideMark/>
          </w:tcPr>
          <w:p w14:paraId="6EAC6D90" w14:textId="77777777" w:rsidR="00767A70" w:rsidRPr="00EA5BE0" w:rsidRDefault="00767A70" w:rsidP="00767A70">
            <w:pPr>
              <w:pStyle w:val="TableTextLeft"/>
            </w:pPr>
          </w:p>
        </w:tc>
        <w:tc>
          <w:tcPr>
            <w:tcW w:w="10370" w:type="dxa"/>
            <w:noWrap/>
            <w:hideMark/>
          </w:tcPr>
          <w:p w14:paraId="67F41E87" w14:textId="77777777" w:rsidR="00767A70" w:rsidRPr="00EA5BE0" w:rsidRDefault="00767A70" w:rsidP="00767A70">
            <w:pPr>
              <w:pStyle w:val="TableTextLeft"/>
              <w:cnfStyle w:val="000000000000" w:firstRow="0" w:lastRow="0" w:firstColumn="0" w:lastColumn="0" w:oddVBand="0" w:evenVBand="0" w:oddHBand="0" w:evenHBand="0" w:firstRowFirstColumn="0" w:firstRowLastColumn="0" w:lastRowFirstColumn="0" w:lastRowLastColumn="0"/>
            </w:pPr>
            <w:r w:rsidRPr="00EA5BE0">
              <w:t>Competing interests of guideline development group members have been recorded and addressed</w:t>
            </w:r>
          </w:p>
        </w:tc>
      </w:tr>
    </w:tbl>
    <w:p w14:paraId="1CA2E341" w14:textId="67360E8C" w:rsidR="00EA5BE0" w:rsidRPr="00EA5BE0" w:rsidRDefault="00EA5BE0" w:rsidP="00BE6C8E">
      <w:pPr>
        <w:pStyle w:val="H3"/>
        <w:rPr>
          <w:rFonts w:eastAsia="Times New Roman"/>
        </w:rPr>
      </w:pPr>
      <w:bookmarkStart w:id="20" w:name="_Toc195287986"/>
      <w:r w:rsidRPr="00EA5BE0">
        <w:rPr>
          <w:rFonts w:eastAsia="Times New Roman"/>
        </w:rPr>
        <w:t>4.1</w:t>
      </w:r>
      <w:r w:rsidR="0052528E">
        <w:rPr>
          <w:rFonts w:eastAsia="Times New Roman"/>
        </w:rPr>
        <w:t>.</w:t>
      </w:r>
      <w:r w:rsidR="0052528E">
        <w:rPr>
          <w:rFonts w:eastAsia="Times New Roman"/>
        </w:rPr>
        <w:tab/>
      </w:r>
      <w:r w:rsidR="00806461">
        <w:rPr>
          <w:rFonts w:eastAsia="Times New Roman"/>
        </w:rPr>
        <w:t>ESA</w:t>
      </w:r>
      <w:r w:rsidRPr="00EA5BE0">
        <w:rPr>
          <w:rFonts w:eastAsia="Times New Roman"/>
        </w:rPr>
        <w:t>: Surgery in the obese patient</w:t>
      </w:r>
      <w:bookmarkEnd w:id="20"/>
      <w:r w:rsidRPr="00EA5BE0">
        <w:rPr>
          <w:rFonts w:eastAsia="Times New Roman"/>
        </w:rPr>
        <w:t xml:space="preserve"> </w:t>
      </w:r>
    </w:p>
    <w:p w14:paraId="2FF50084" w14:textId="476EBE19" w:rsidR="00EA5BE0" w:rsidRPr="005D4131" w:rsidRDefault="005D4131" w:rsidP="00B41394">
      <w:pPr>
        <w:pStyle w:val="Paragraph"/>
        <w:rPr>
          <w:rStyle w:val="Hyperlink"/>
          <w:rFonts w:eastAsia="Times New Roman" w:cstheme="minorHAnsi"/>
          <w:szCs w:val="20"/>
        </w:rPr>
      </w:pPr>
      <w:r>
        <w:rPr>
          <w:rFonts w:eastAsia="Times New Roman" w:cstheme="minorHAnsi"/>
          <w:color w:val="00507F"/>
          <w:szCs w:val="20"/>
          <w:u w:val="single"/>
        </w:rPr>
        <w:fldChar w:fldCharType="begin"/>
      </w:r>
      <w:r>
        <w:rPr>
          <w:rFonts w:eastAsia="Times New Roman" w:cstheme="minorHAnsi"/>
          <w:color w:val="00507F"/>
          <w:szCs w:val="20"/>
          <w:u w:val="single"/>
        </w:rPr>
        <w:instrText>HYPERLINK "https://journals.lww.com/ejanaesthesiology/fulltext/2018/02000/european_guidelines_on_perioperative_venous.14.aspx"</w:instrText>
      </w:r>
      <w:r>
        <w:rPr>
          <w:rFonts w:eastAsia="Times New Roman" w:cstheme="minorHAnsi"/>
          <w:color w:val="00507F"/>
          <w:szCs w:val="20"/>
          <w:u w:val="single"/>
        </w:rPr>
      </w:r>
      <w:r>
        <w:rPr>
          <w:rFonts w:eastAsia="Times New Roman" w:cstheme="minorHAnsi"/>
          <w:color w:val="00507F"/>
          <w:szCs w:val="20"/>
          <w:u w:val="single"/>
        </w:rPr>
        <w:fldChar w:fldCharType="separate"/>
      </w:r>
      <w:r w:rsidR="00EA5BE0" w:rsidRPr="005D4131">
        <w:rPr>
          <w:rStyle w:val="Hyperlink"/>
          <w:rFonts w:eastAsia="Times New Roman" w:cstheme="minorHAnsi"/>
          <w:szCs w:val="20"/>
        </w:rPr>
        <w:t xml:space="preserve">Venclauskas, L., Maleckas, A., &amp; Arcelus, J. I. (2018). European guidelines on perioperative venous thromboembolism prophylaxis: Surgery in the obese patient. </w:t>
      </w:r>
      <w:r w:rsidR="00EA5BE0" w:rsidRPr="005D4131">
        <w:rPr>
          <w:rStyle w:val="Hyperlink"/>
          <w:rFonts w:eastAsia="Times New Roman" w:cstheme="minorHAnsi"/>
          <w:i/>
          <w:iCs/>
          <w:szCs w:val="20"/>
        </w:rPr>
        <w:t>European Journal of Anaesthesiology</w:t>
      </w:r>
      <w:r w:rsidR="00EA5BE0" w:rsidRPr="005D4131">
        <w:rPr>
          <w:rStyle w:val="Hyperlink"/>
          <w:rFonts w:eastAsia="Times New Roman" w:cstheme="minorHAnsi"/>
          <w:szCs w:val="20"/>
        </w:rPr>
        <w:t xml:space="preserve">, </w:t>
      </w:r>
      <w:r w:rsidR="00EA5BE0" w:rsidRPr="005D4131">
        <w:rPr>
          <w:rStyle w:val="Hyperlink"/>
          <w:rFonts w:eastAsia="Times New Roman" w:cstheme="minorHAnsi"/>
          <w:i/>
          <w:iCs/>
          <w:szCs w:val="20"/>
        </w:rPr>
        <w:t>35</w:t>
      </w:r>
      <w:r w:rsidR="00EA5BE0" w:rsidRPr="005D4131">
        <w:rPr>
          <w:rStyle w:val="Hyperlink"/>
          <w:rFonts w:eastAsia="Times New Roman" w:cstheme="minorHAnsi"/>
          <w:szCs w:val="20"/>
        </w:rPr>
        <w:t>(2), 147–153. https://doi.org/10.1097/EJA.0000000000000703</w:t>
      </w:r>
    </w:p>
    <w:p w14:paraId="6521A1DD" w14:textId="42CD8CAA" w:rsidR="00EA5BE0" w:rsidRPr="00055496" w:rsidRDefault="005D4131" w:rsidP="00CD0FE3">
      <w:pPr>
        <w:pStyle w:val="Paragraph"/>
      </w:pPr>
      <w:r>
        <w:rPr>
          <w:rFonts w:eastAsia="Times New Roman" w:cstheme="minorHAnsi"/>
          <w:color w:val="00507F"/>
          <w:szCs w:val="20"/>
          <w:u w:val="single"/>
        </w:rPr>
        <w:fldChar w:fldCharType="end"/>
      </w:r>
      <w:r w:rsidR="00EA5BE0" w:rsidRPr="00055496">
        <w:t xml:space="preserve">Key guideline recommendations for obese patients undergoing surgery are included in </w:t>
      </w:r>
      <w:r w:rsidR="00EA5BE0" w:rsidRPr="00055496">
        <w:rPr>
          <w:b/>
          <w:bCs/>
        </w:rPr>
        <w:t xml:space="preserve">Table </w:t>
      </w:r>
      <w:r w:rsidR="00B8378B">
        <w:rPr>
          <w:b/>
          <w:bCs/>
        </w:rPr>
        <w:t>20</w:t>
      </w:r>
      <w:r w:rsidR="00EA5BE0" w:rsidRPr="00055496">
        <w:rPr>
          <w:b/>
          <w:bCs/>
        </w:rPr>
        <w:t xml:space="preserve"> </w:t>
      </w:r>
      <w:r w:rsidR="00EA5BE0" w:rsidRPr="00055496">
        <w:t>below.</w:t>
      </w:r>
    </w:p>
    <w:p w14:paraId="564B9A4A" w14:textId="0DC6685D" w:rsidR="00EA5BE0" w:rsidRPr="00EA5BE0" w:rsidRDefault="00EA5BE0" w:rsidP="00055496">
      <w:pPr>
        <w:pStyle w:val="TableTitle"/>
      </w:pPr>
      <w:r w:rsidRPr="00CD0FE3">
        <w:rPr>
          <w:b/>
          <w:bCs/>
        </w:rPr>
        <w:t xml:space="preserve">Table </w:t>
      </w:r>
      <w:r w:rsidR="00B8378B" w:rsidRPr="00CD0FE3">
        <w:rPr>
          <w:b/>
          <w:bCs/>
        </w:rPr>
        <w:t>20</w:t>
      </w:r>
      <w:r w:rsidR="00CD0FE3" w:rsidRPr="00CD0FE3">
        <w:rPr>
          <w:b/>
          <w:bCs/>
        </w:rPr>
        <w:t>.</w:t>
      </w:r>
      <w:r w:rsidRPr="00EA5BE0">
        <w:t xml:space="preserve"> ESA (2018)</w:t>
      </w:r>
      <w:r w:rsidR="00D37E2C">
        <w:t xml:space="preserve"> </w:t>
      </w:r>
      <w:r w:rsidR="00AE06EB">
        <w:t>Guidelines focused on surgery in the obese patient</w:t>
      </w:r>
    </w:p>
    <w:tbl>
      <w:tblPr>
        <w:tblStyle w:val="AlternateTable"/>
        <w:tblW w:w="5000" w:type="pct"/>
        <w:tblLook w:val="04A0" w:firstRow="1" w:lastRow="0" w:firstColumn="1" w:lastColumn="0" w:noHBand="0" w:noVBand="1"/>
      </w:tblPr>
      <w:tblGrid>
        <w:gridCol w:w="9925"/>
        <w:gridCol w:w="1795"/>
        <w:gridCol w:w="1240"/>
      </w:tblGrid>
      <w:tr w:rsidR="00EA5BE0" w:rsidRPr="00EA5BE0" w14:paraId="7BB014D7" w14:textId="77777777" w:rsidTr="00EA45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170" w:type="dxa"/>
            <w:vAlign w:val="bottom"/>
            <w:hideMark/>
          </w:tcPr>
          <w:p w14:paraId="2D6ADE27" w14:textId="77777777" w:rsidR="00EA5BE0" w:rsidRPr="00EA5BE0" w:rsidRDefault="00EA5BE0" w:rsidP="00CD0FE3">
            <w:pPr>
              <w:pStyle w:val="TableHeaderLeft"/>
              <w:rPr>
                <w:b w:val="0"/>
              </w:rPr>
            </w:pPr>
            <w:r w:rsidRPr="00EA5BE0">
              <w:t>Verbatim Guideline</w:t>
            </w:r>
          </w:p>
        </w:tc>
        <w:tc>
          <w:tcPr>
            <w:tcW w:w="1800" w:type="dxa"/>
            <w:vAlign w:val="bottom"/>
            <w:hideMark/>
          </w:tcPr>
          <w:p w14:paraId="77D94CC4" w14:textId="77777777" w:rsidR="00EA5BE0" w:rsidRPr="00EA5BE0" w:rsidRDefault="00EA5BE0" w:rsidP="00CD0FE3">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251" w:type="dxa"/>
            <w:vAlign w:val="bottom"/>
            <w:hideMark/>
          </w:tcPr>
          <w:p w14:paraId="6662E9CC" w14:textId="77777777" w:rsidR="00EA5BE0" w:rsidRPr="00EA5BE0" w:rsidRDefault="00EA5BE0" w:rsidP="00CD0FE3">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CD0FE3" w:rsidRPr="00EA5BE0" w14:paraId="6A0FFEC3" w14:textId="77777777" w:rsidTr="00EA4531">
        <w:tc>
          <w:tcPr>
            <w:cnfStyle w:val="001000000000" w:firstRow="0" w:lastRow="0" w:firstColumn="1" w:lastColumn="0" w:oddVBand="0" w:evenVBand="0" w:oddHBand="0" w:evenHBand="0" w:firstRowFirstColumn="0" w:firstRowLastColumn="0" w:lastRowFirstColumn="0" w:lastRowLastColumn="0"/>
            <w:tcW w:w="10170" w:type="dxa"/>
            <w:shd w:val="clear" w:color="auto" w:fill="0B2949" w:themeFill="accent1"/>
          </w:tcPr>
          <w:p w14:paraId="0954FCF2" w14:textId="6AE6D118" w:rsidR="00CD0FE3" w:rsidRPr="00EA5BE0" w:rsidRDefault="00CD0FE3" w:rsidP="00CD0FE3">
            <w:pPr>
              <w:pStyle w:val="TableRowHead"/>
              <w:rPr>
                <w:color w:val="000000"/>
              </w:rPr>
            </w:pPr>
            <w:r w:rsidRPr="00055496">
              <w:t>Bariatric surgery</w:t>
            </w:r>
          </w:p>
        </w:tc>
        <w:tc>
          <w:tcPr>
            <w:tcW w:w="1800" w:type="dxa"/>
            <w:shd w:val="clear" w:color="auto" w:fill="0B2949" w:themeFill="accent1"/>
          </w:tcPr>
          <w:p w14:paraId="1C788065" w14:textId="77777777" w:rsidR="00CD0FE3" w:rsidRPr="00EA5BE0" w:rsidRDefault="00CD0FE3" w:rsidP="00CD0FE3">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251" w:type="dxa"/>
            <w:shd w:val="clear" w:color="auto" w:fill="0B2949" w:themeFill="accent1"/>
          </w:tcPr>
          <w:p w14:paraId="55E26A2C" w14:textId="77777777" w:rsidR="00CD0FE3" w:rsidRPr="00EA5BE0" w:rsidRDefault="00CD0FE3" w:rsidP="00CD0FE3">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EA5BE0" w:rsidRPr="00EA5BE0" w14:paraId="4D81D6BF" w14:textId="77777777" w:rsidTr="00EA4531">
        <w:tc>
          <w:tcPr>
            <w:cnfStyle w:val="001000000000" w:firstRow="0" w:lastRow="0" w:firstColumn="1" w:lastColumn="0" w:oddVBand="0" w:evenVBand="0" w:oddHBand="0" w:evenHBand="0" w:firstRowFirstColumn="0" w:firstRowLastColumn="0" w:lastRowFirstColumn="0" w:lastRowLastColumn="0"/>
            <w:tcW w:w="10170" w:type="dxa"/>
            <w:hideMark/>
          </w:tcPr>
          <w:p w14:paraId="55AA72A1" w14:textId="77777777" w:rsidR="00EA5BE0" w:rsidRPr="00EA5BE0" w:rsidRDefault="00EA5BE0" w:rsidP="00CD0FE3">
            <w:pPr>
              <w:pStyle w:val="TableTextLeft"/>
            </w:pPr>
            <w:r w:rsidRPr="00EA5BE0">
              <w:t>Laparoscopic bariatric procedures for obese patients have a lower risk of VTE than open procedures.</w:t>
            </w:r>
          </w:p>
        </w:tc>
        <w:tc>
          <w:tcPr>
            <w:tcW w:w="1800" w:type="dxa"/>
            <w:hideMark/>
          </w:tcPr>
          <w:p w14:paraId="06FC7D0F"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N/A </w:t>
            </w:r>
          </w:p>
        </w:tc>
        <w:tc>
          <w:tcPr>
            <w:tcW w:w="1251" w:type="dxa"/>
            <w:hideMark/>
          </w:tcPr>
          <w:p w14:paraId="1F565183"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N/A </w:t>
            </w:r>
          </w:p>
        </w:tc>
      </w:tr>
      <w:tr w:rsidR="00EA5BE0" w:rsidRPr="00EA5BE0" w14:paraId="2460C76C" w14:textId="77777777" w:rsidTr="00EA4531">
        <w:tc>
          <w:tcPr>
            <w:cnfStyle w:val="001000000000" w:firstRow="0" w:lastRow="0" w:firstColumn="1" w:lastColumn="0" w:oddVBand="0" w:evenVBand="0" w:oddHBand="0" w:evenHBand="0" w:firstRowFirstColumn="0" w:firstRowLastColumn="0" w:lastRowFirstColumn="0" w:lastRowLastColumn="0"/>
            <w:tcW w:w="10170" w:type="dxa"/>
            <w:hideMark/>
          </w:tcPr>
          <w:p w14:paraId="09183428" w14:textId="77777777" w:rsidR="00EA5BE0" w:rsidRPr="00EA5BE0" w:rsidRDefault="00EA5BE0" w:rsidP="00CD0FE3">
            <w:pPr>
              <w:pStyle w:val="TableTextLeft"/>
            </w:pPr>
            <w:r w:rsidRPr="00EA5BE0">
              <w:t>We suggest using only anticoagulants or IPC for obese patients with a low risk of VTE during and after bariatric procedures.</w:t>
            </w:r>
          </w:p>
        </w:tc>
        <w:tc>
          <w:tcPr>
            <w:tcW w:w="1800" w:type="dxa"/>
            <w:hideMark/>
          </w:tcPr>
          <w:p w14:paraId="0095A30C"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251" w:type="dxa"/>
            <w:hideMark/>
          </w:tcPr>
          <w:p w14:paraId="079CC5E6"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2DB70068" w14:textId="77777777" w:rsidTr="00EA4531">
        <w:tc>
          <w:tcPr>
            <w:cnfStyle w:val="001000000000" w:firstRow="0" w:lastRow="0" w:firstColumn="1" w:lastColumn="0" w:oddVBand="0" w:evenVBand="0" w:oddHBand="0" w:evenHBand="0" w:firstRowFirstColumn="0" w:firstRowLastColumn="0" w:lastRowFirstColumn="0" w:lastRowLastColumn="0"/>
            <w:tcW w:w="10170" w:type="dxa"/>
            <w:hideMark/>
          </w:tcPr>
          <w:p w14:paraId="2FCF486C" w14:textId="6FB1131D" w:rsidR="00EA5BE0" w:rsidRPr="00EA5BE0" w:rsidRDefault="00EA5BE0" w:rsidP="00CD0FE3">
            <w:pPr>
              <w:pStyle w:val="TableTextLeft"/>
            </w:pPr>
            <w:r w:rsidRPr="00EA5BE0">
              <w:lastRenderedPageBreak/>
              <w:t>We recommend using anticoagulants and IPC together for obese patients with a high risk of VTE (age &gt;55 years, BMI &gt;55 kgm</w:t>
            </w:r>
            <w:r w:rsidRPr="00EA5BE0">
              <w:rPr>
                <w:vertAlign w:val="superscript"/>
              </w:rPr>
              <w:t>-2</w:t>
            </w:r>
            <w:r w:rsidRPr="00EA5BE0">
              <w:t>, history of VTE, venous disease, sleep apnea, hypercoagulability or pulmonary hypertension) during and after bariatric procedures.</w:t>
            </w:r>
          </w:p>
        </w:tc>
        <w:tc>
          <w:tcPr>
            <w:tcW w:w="1800" w:type="dxa"/>
            <w:hideMark/>
          </w:tcPr>
          <w:p w14:paraId="3E1A32AF"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251" w:type="dxa"/>
            <w:hideMark/>
          </w:tcPr>
          <w:p w14:paraId="0E1744CC"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7A0DFABC" w14:textId="77777777" w:rsidTr="00EA4531">
        <w:tc>
          <w:tcPr>
            <w:cnfStyle w:val="001000000000" w:firstRow="0" w:lastRow="0" w:firstColumn="1" w:lastColumn="0" w:oddVBand="0" w:evenVBand="0" w:oddHBand="0" w:evenHBand="0" w:firstRowFirstColumn="0" w:firstRowLastColumn="0" w:lastRowFirstColumn="0" w:lastRowLastColumn="0"/>
            <w:tcW w:w="10170" w:type="dxa"/>
            <w:hideMark/>
          </w:tcPr>
          <w:p w14:paraId="60975565" w14:textId="77777777" w:rsidR="00EA5BE0" w:rsidRPr="00EA5BE0" w:rsidRDefault="00EA5BE0" w:rsidP="00CD0FE3">
            <w:pPr>
              <w:pStyle w:val="TableTextLeft"/>
            </w:pPr>
            <w:r w:rsidRPr="00EA5BE0">
              <w:t>We recommend the use of LMWH over LDUH.</w:t>
            </w:r>
          </w:p>
        </w:tc>
        <w:tc>
          <w:tcPr>
            <w:tcW w:w="1800" w:type="dxa"/>
            <w:hideMark/>
          </w:tcPr>
          <w:p w14:paraId="28B3E5B3"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251" w:type="dxa"/>
            <w:hideMark/>
          </w:tcPr>
          <w:p w14:paraId="187FCDFC"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17266542" w14:textId="77777777" w:rsidTr="00EA4531">
        <w:tc>
          <w:tcPr>
            <w:cnfStyle w:val="001000000000" w:firstRow="0" w:lastRow="0" w:firstColumn="1" w:lastColumn="0" w:oddVBand="0" w:evenVBand="0" w:oddHBand="0" w:evenHBand="0" w:firstRowFirstColumn="0" w:firstRowLastColumn="0" w:lastRowFirstColumn="0" w:lastRowLastColumn="0"/>
            <w:tcW w:w="10170" w:type="dxa"/>
            <w:hideMark/>
          </w:tcPr>
          <w:p w14:paraId="0558F55D" w14:textId="77777777" w:rsidR="00EA5BE0" w:rsidRPr="00EA5BE0" w:rsidRDefault="00EA5BE0" w:rsidP="00CD0FE3">
            <w:pPr>
              <w:pStyle w:val="TableTextLeft"/>
            </w:pPr>
            <w:r w:rsidRPr="00EA5BE0">
              <w:t>We suggest a dose of LMWH (3000 to 4000 anti-Xa IU 12 h</w:t>
            </w:r>
            <w:r w:rsidRPr="00EA5BE0">
              <w:rPr>
                <w:vertAlign w:val="superscript"/>
              </w:rPr>
              <w:t>-1</w:t>
            </w:r>
            <w:r w:rsidRPr="00EA5BE0">
              <w:t xml:space="preserve"> subcutaneously) depending on BMI as acceptable for obese patients with a lower risk of VTE.</w:t>
            </w:r>
          </w:p>
        </w:tc>
        <w:tc>
          <w:tcPr>
            <w:tcW w:w="1800" w:type="dxa"/>
            <w:hideMark/>
          </w:tcPr>
          <w:p w14:paraId="40C99606"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251" w:type="dxa"/>
            <w:hideMark/>
          </w:tcPr>
          <w:p w14:paraId="108D4896"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EA5BE0" w:rsidRPr="00EA5BE0" w14:paraId="3662E571" w14:textId="77777777" w:rsidTr="00EA4531">
        <w:tc>
          <w:tcPr>
            <w:cnfStyle w:val="001000000000" w:firstRow="0" w:lastRow="0" w:firstColumn="1" w:lastColumn="0" w:oddVBand="0" w:evenVBand="0" w:oddHBand="0" w:evenHBand="0" w:firstRowFirstColumn="0" w:firstRowLastColumn="0" w:lastRowFirstColumn="0" w:lastRowLastColumn="0"/>
            <w:tcW w:w="10170" w:type="dxa"/>
            <w:hideMark/>
          </w:tcPr>
          <w:p w14:paraId="37074262" w14:textId="77777777" w:rsidR="00EA5BE0" w:rsidRPr="00EA5BE0" w:rsidRDefault="00EA5BE0" w:rsidP="00CD0FE3">
            <w:pPr>
              <w:pStyle w:val="TableTextLeft"/>
            </w:pPr>
            <w:r w:rsidRPr="00EA5BE0">
              <w:t>We suggest the use of a higher dose of LMWH (4000 to 6000 anti-Xa IU 12 h</w:t>
            </w:r>
            <w:r w:rsidRPr="00EA5BE0">
              <w:rPr>
                <w:vertAlign w:val="superscript"/>
              </w:rPr>
              <w:t>-1</w:t>
            </w:r>
            <w:r w:rsidRPr="00EA5BE0">
              <w:t xml:space="preserve"> subcutaneously) as acceptable for obese patients with a higher risk of VTE.</w:t>
            </w:r>
          </w:p>
        </w:tc>
        <w:tc>
          <w:tcPr>
            <w:tcW w:w="1800" w:type="dxa"/>
            <w:hideMark/>
          </w:tcPr>
          <w:p w14:paraId="2C8A864A"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251" w:type="dxa"/>
            <w:hideMark/>
          </w:tcPr>
          <w:p w14:paraId="594E92CF"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EA5BE0" w:rsidRPr="00EA5BE0" w14:paraId="2AEF3427" w14:textId="77777777" w:rsidTr="00EA4531">
        <w:tc>
          <w:tcPr>
            <w:cnfStyle w:val="001000000000" w:firstRow="0" w:lastRow="0" w:firstColumn="1" w:lastColumn="0" w:oddVBand="0" w:evenVBand="0" w:oddHBand="0" w:evenHBand="0" w:firstRowFirstColumn="0" w:firstRowLastColumn="0" w:lastRowFirstColumn="0" w:lastRowLastColumn="0"/>
            <w:tcW w:w="10170" w:type="dxa"/>
            <w:hideMark/>
          </w:tcPr>
          <w:p w14:paraId="0B08FC84" w14:textId="2A2922D6" w:rsidR="00EA5BE0" w:rsidRPr="00EA5BE0" w:rsidRDefault="00EA5BE0" w:rsidP="00CD0FE3">
            <w:pPr>
              <w:pStyle w:val="TableTextLeft"/>
            </w:pPr>
            <w:r w:rsidRPr="00EA5BE0">
              <w:t>We recommend extended prophylaxis for patients with a high risk of VTE during the postdischarge period for 10 to 15</w:t>
            </w:r>
            <w:r w:rsidR="002850A3">
              <w:t> </w:t>
            </w:r>
            <w:r w:rsidRPr="00EA5BE0">
              <w:t>days.</w:t>
            </w:r>
          </w:p>
        </w:tc>
        <w:tc>
          <w:tcPr>
            <w:tcW w:w="1800" w:type="dxa"/>
            <w:hideMark/>
          </w:tcPr>
          <w:p w14:paraId="72CC0CF9"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251" w:type="dxa"/>
            <w:hideMark/>
          </w:tcPr>
          <w:p w14:paraId="191A8F11"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D0FE3" w:rsidRPr="00EA5BE0" w14:paraId="717217BC" w14:textId="77777777" w:rsidTr="00EA4531">
        <w:tc>
          <w:tcPr>
            <w:cnfStyle w:val="001000000000" w:firstRow="0" w:lastRow="0" w:firstColumn="1" w:lastColumn="0" w:oddVBand="0" w:evenVBand="0" w:oddHBand="0" w:evenHBand="0" w:firstRowFirstColumn="0" w:firstRowLastColumn="0" w:lastRowFirstColumn="0" w:lastRowLastColumn="0"/>
            <w:tcW w:w="10170" w:type="dxa"/>
            <w:shd w:val="clear" w:color="auto" w:fill="0B2949" w:themeFill="accent1"/>
          </w:tcPr>
          <w:p w14:paraId="160F2DD7" w14:textId="6272EB86" w:rsidR="00CD0FE3" w:rsidRPr="00EA5BE0" w:rsidRDefault="00CD0FE3" w:rsidP="00CD0FE3">
            <w:pPr>
              <w:pStyle w:val="TableRowHead"/>
              <w:rPr>
                <w:color w:val="000000"/>
              </w:rPr>
            </w:pPr>
            <w:r w:rsidRPr="00055496">
              <w:t>Nonbariatric surgery</w:t>
            </w:r>
          </w:p>
        </w:tc>
        <w:tc>
          <w:tcPr>
            <w:tcW w:w="1800" w:type="dxa"/>
            <w:shd w:val="clear" w:color="auto" w:fill="0B2949" w:themeFill="accent1"/>
          </w:tcPr>
          <w:p w14:paraId="5F5E43FB" w14:textId="77777777" w:rsidR="00CD0FE3" w:rsidRPr="00EA5BE0" w:rsidRDefault="00CD0FE3" w:rsidP="00CD0FE3">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251" w:type="dxa"/>
            <w:shd w:val="clear" w:color="auto" w:fill="0B2949" w:themeFill="accent1"/>
          </w:tcPr>
          <w:p w14:paraId="3E62DAD6" w14:textId="77777777" w:rsidR="00CD0FE3" w:rsidRPr="00EA5BE0" w:rsidRDefault="00CD0FE3" w:rsidP="00CD0FE3">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EA5BE0" w:rsidRPr="00EA5BE0" w14:paraId="38B8ADA5" w14:textId="77777777" w:rsidTr="00EA4531">
        <w:tc>
          <w:tcPr>
            <w:cnfStyle w:val="001000000000" w:firstRow="0" w:lastRow="0" w:firstColumn="1" w:lastColumn="0" w:oddVBand="0" w:evenVBand="0" w:oddHBand="0" w:evenHBand="0" w:firstRowFirstColumn="0" w:firstRowLastColumn="0" w:lastRowFirstColumn="0" w:lastRowLastColumn="0"/>
            <w:tcW w:w="10170" w:type="dxa"/>
            <w:hideMark/>
          </w:tcPr>
          <w:p w14:paraId="6206F4EA" w14:textId="77777777" w:rsidR="00EA5BE0" w:rsidRPr="00EA5BE0" w:rsidRDefault="00EA5BE0" w:rsidP="00CD0FE3">
            <w:pPr>
              <w:pStyle w:val="TableTextLeft"/>
            </w:pPr>
            <w:r w:rsidRPr="00EA5BE0">
              <w:t>We suggest that in surgery with an indication for VTE prophylaxis, a higher prophylactic dose of LMWH (3000 to 4000 anti-Xa IU 12 h</w:t>
            </w:r>
            <w:r w:rsidRPr="00EA5BE0">
              <w:rPr>
                <w:vertAlign w:val="superscript"/>
              </w:rPr>
              <w:t>-1</w:t>
            </w:r>
            <w:r w:rsidRPr="00EA5BE0">
              <w:t xml:space="preserve"> subcutaneously) should be considered for obese patients with a BMI more than 40 kgm</w:t>
            </w:r>
            <w:r w:rsidRPr="00EA5BE0">
              <w:rPr>
                <w:vertAlign w:val="superscript"/>
              </w:rPr>
              <w:t>-2</w:t>
            </w:r>
            <w:r w:rsidRPr="00EA5BE0">
              <w:t xml:space="preserve"> undergoing nonbariatric surgery.</w:t>
            </w:r>
          </w:p>
        </w:tc>
        <w:tc>
          <w:tcPr>
            <w:tcW w:w="1800" w:type="dxa"/>
            <w:hideMark/>
          </w:tcPr>
          <w:p w14:paraId="3FEEAD6B"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251" w:type="dxa"/>
            <w:hideMark/>
          </w:tcPr>
          <w:p w14:paraId="427FB7BD"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09FE8A9C" w14:textId="77777777" w:rsidTr="00EA4531">
        <w:tc>
          <w:tcPr>
            <w:cnfStyle w:val="001000000000" w:firstRow="0" w:lastRow="0" w:firstColumn="1" w:lastColumn="0" w:oddVBand="0" w:evenVBand="0" w:oddHBand="0" w:evenHBand="0" w:firstRowFirstColumn="0" w:firstRowLastColumn="0" w:lastRowFirstColumn="0" w:lastRowLastColumn="0"/>
            <w:tcW w:w="10170" w:type="dxa"/>
            <w:hideMark/>
          </w:tcPr>
          <w:p w14:paraId="1FEA6092" w14:textId="73B06A81" w:rsidR="00EA5BE0" w:rsidRPr="00EA5BE0" w:rsidRDefault="00EA5BE0" w:rsidP="00CD0FE3">
            <w:pPr>
              <w:pStyle w:val="TableTextLeft"/>
            </w:pPr>
            <w:r w:rsidRPr="00EA5BE0">
              <w:t>For additional and general recommendations, we refer</w:t>
            </w:r>
            <w:r w:rsidR="001A0762">
              <w:t xml:space="preserve"> </w:t>
            </w:r>
            <w:r w:rsidRPr="00EA5BE0">
              <w:t>to the section on ‘VTE prophylaxis for obese patients</w:t>
            </w:r>
            <w:r w:rsidR="001A0762">
              <w:t xml:space="preserve"> </w:t>
            </w:r>
            <w:r w:rsidRPr="00EA5BE0">
              <w:t>in bariatric surgery’.</w:t>
            </w:r>
          </w:p>
        </w:tc>
        <w:tc>
          <w:tcPr>
            <w:tcW w:w="1800" w:type="dxa"/>
            <w:hideMark/>
          </w:tcPr>
          <w:p w14:paraId="7D877B68"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N/A </w:t>
            </w:r>
          </w:p>
        </w:tc>
        <w:tc>
          <w:tcPr>
            <w:tcW w:w="1251" w:type="dxa"/>
            <w:hideMark/>
          </w:tcPr>
          <w:p w14:paraId="519631BA" w14:textId="77777777" w:rsidR="00EA5BE0" w:rsidRPr="00EA5BE0" w:rsidRDefault="00EA5BE0" w:rsidP="000727F0">
            <w:pPr>
              <w:pStyle w:val="TableTextLeft"/>
              <w:cnfStyle w:val="000000000000" w:firstRow="0" w:lastRow="0" w:firstColumn="0" w:lastColumn="0" w:oddVBand="0" w:evenVBand="0" w:oddHBand="0" w:evenHBand="0" w:firstRowFirstColumn="0" w:firstRowLastColumn="0" w:lastRowFirstColumn="0" w:lastRowLastColumn="0"/>
            </w:pPr>
            <w:r w:rsidRPr="00EA5BE0">
              <w:t>N/A </w:t>
            </w:r>
          </w:p>
        </w:tc>
      </w:tr>
    </w:tbl>
    <w:p w14:paraId="26BA6D14" w14:textId="77777777" w:rsidR="002850A3" w:rsidRPr="002850A3" w:rsidRDefault="002850A3" w:rsidP="002850A3"/>
    <w:p w14:paraId="27ECC6F7" w14:textId="77777777" w:rsidR="002850A3" w:rsidRDefault="002850A3">
      <w:pPr>
        <w:spacing w:after="160" w:line="259" w:lineRule="auto"/>
        <w:rPr>
          <w:rFonts w:eastAsia="Times New Roman" w:cstheme="majorBidi"/>
          <w:b/>
          <w:color w:val="000000" w:themeColor="text1"/>
          <w:szCs w:val="32"/>
        </w:rPr>
      </w:pPr>
      <w:r>
        <w:rPr>
          <w:rFonts w:eastAsia="Times New Roman"/>
        </w:rPr>
        <w:br w:type="page"/>
      </w:r>
    </w:p>
    <w:p w14:paraId="2B87A169" w14:textId="58F77267" w:rsidR="00272036" w:rsidRDefault="00272036" w:rsidP="00F521FD">
      <w:pPr>
        <w:pStyle w:val="H4"/>
        <w:rPr>
          <w:rFonts w:eastAsia="Times New Roman"/>
        </w:rPr>
      </w:pPr>
      <w:r>
        <w:rPr>
          <w:rFonts w:eastAsia="Times New Roman"/>
        </w:rPr>
        <w:lastRenderedPageBreak/>
        <w:t>4.1.1</w:t>
      </w:r>
      <w:r w:rsidR="002850A3">
        <w:rPr>
          <w:rFonts w:eastAsia="Times New Roman"/>
        </w:rPr>
        <w:t>.</w:t>
      </w:r>
      <w:r w:rsidR="002850A3">
        <w:rPr>
          <w:rFonts w:eastAsia="Times New Roman"/>
        </w:rPr>
        <w:tab/>
      </w:r>
      <w:r>
        <w:rPr>
          <w:rFonts w:eastAsia="Times New Roman"/>
        </w:rPr>
        <w:t>ESA</w:t>
      </w:r>
      <w:r w:rsidR="00B229D3">
        <w:rPr>
          <w:rFonts w:eastAsia="Times New Roman"/>
        </w:rPr>
        <w:t xml:space="preserve">: </w:t>
      </w:r>
      <w:r w:rsidR="00263315">
        <w:rPr>
          <w:rFonts w:eastAsia="Times New Roman"/>
        </w:rPr>
        <w:t xml:space="preserve">First update of </w:t>
      </w:r>
      <w:r w:rsidR="00A17137">
        <w:rPr>
          <w:rFonts w:eastAsia="Times New Roman"/>
        </w:rPr>
        <w:t>surgery in obese patient</w:t>
      </w:r>
    </w:p>
    <w:p w14:paraId="036DBA1A" w14:textId="55C10386" w:rsidR="00DC32C3" w:rsidRPr="00615FBD" w:rsidRDefault="00615FBD" w:rsidP="00CD0FE3">
      <w:pPr>
        <w:pStyle w:val="Paragraph"/>
        <w:rPr>
          <w:rStyle w:val="Hyperlink"/>
        </w:rPr>
      </w:pPr>
      <w:r>
        <w:fldChar w:fldCharType="begin"/>
      </w:r>
      <w:r>
        <w:instrText>HYPERLINK "https://journals.lww.com/ejanaesthesiology/fulltext/2024/08000/european_guidelines_on_peri_operative_venous.3.aspx"</w:instrText>
      </w:r>
      <w:r>
        <w:fldChar w:fldCharType="separate"/>
      </w:r>
      <w:r w:rsidR="00DC32C3" w:rsidRPr="00615FBD">
        <w:rPr>
          <w:rStyle w:val="Hyperlink"/>
        </w:rPr>
        <w:t>Samama, C. M., Afshari, A., Lars Grønlykke, Madsen, M. H., Wiberg, S., &amp; Romero, C. S. (2024). European guidelines on peri-operative venous thromboembolism prophylaxis: first update. </w:t>
      </w:r>
      <w:r w:rsidR="00DC32C3" w:rsidRPr="00615FBD">
        <w:rPr>
          <w:rStyle w:val="Hyperlink"/>
          <w:i/>
          <w:iCs/>
        </w:rPr>
        <w:t>European Journal of Anaesthesiology</w:t>
      </w:r>
      <w:r w:rsidR="00DC32C3" w:rsidRPr="00615FBD">
        <w:rPr>
          <w:rStyle w:val="Hyperlink"/>
        </w:rPr>
        <w:t>, </w:t>
      </w:r>
      <w:r w:rsidR="00DC32C3" w:rsidRPr="00615FBD">
        <w:rPr>
          <w:rStyle w:val="Hyperlink"/>
          <w:i/>
          <w:iCs/>
        </w:rPr>
        <w:t>41</w:t>
      </w:r>
      <w:r w:rsidR="00DC32C3" w:rsidRPr="00615FBD">
        <w:rPr>
          <w:rStyle w:val="Hyperlink"/>
        </w:rPr>
        <w:t>(8), 561–569. https://doi.org/10.1097/eja.0000000000002025</w:t>
      </w:r>
    </w:p>
    <w:p w14:paraId="6DD649B0" w14:textId="2AF4B4BF" w:rsidR="00124125" w:rsidRPr="00124125" w:rsidRDefault="00615FBD" w:rsidP="00CD0FE3">
      <w:pPr>
        <w:pStyle w:val="Paragraph"/>
      </w:pPr>
      <w:r>
        <w:fldChar w:fldCharType="end"/>
      </w:r>
      <w:r w:rsidR="00124125">
        <w:t xml:space="preserve">Updated </w:t>
      </w:r>
      <w:r w:rsidR="00124125" w:rsidRPr="00055496">
        <w:t xml:space="preserve">guideline recommendations for obese patients undergoing surgery are included in </w:t>
      </w:r>
      <w:r w:rsidR="00124125" w:rsidRPr="00055496">
        <w:rPr>
          <w:b/>
          <w:bCs/>
        </w:rPr>
        <w:t xml:space="preserve">Table </w:t>
      </w:r>
      <w:r w:rsidR="00B8378B">
        <w:rPr>
          <w:b/>
          <w:bCs/>
        </w:rPr>
        <w:t>21</w:t>
      </w:r>
      <w:r w:rsidR="00124125" w:rsidRPr="00055496">
        <w:rPr>
          <w:b/>
          <w:bCs/>
        </w:rPr>
        <w:t xml:space="preserve"> </w:t>
      </w:r>
      <w:r w:rsidR="00124125" w:rsidRPr="00055496">
        <w:t>below.</w:t>
      </w:r>
    </w:p>
    <w:p w14:paraId="5F46035D" w14:textId="5434A4D3" w:rsidR="00B229D3" w:rsidRPr="00EA5BE0" w:rsidRDefault="00B229D3" w:rsidP="00B229D3">
      <w:pPr>
        <w:pStyle w:val="TableTitle"/>
      </w:pPr>
      <w:r w:rsidRPr="00CD0FE3">
        <w:rPr>
          <w:b/>
          <w:bCs/>
        </w:rPr>
        <w:t xml:space="preserve">Table </w:t>
      </w:r>
      <w:r w:rsidR="00B8378B" w:rsidRPr="00CD0FE3">
        <w:rPr>
          <w:b/>
          <w:bCs/>
        </w:rPr>
        <w:t>21</w:t>
      </w:r>
      <w:r w:rsidR="00CD0FE3" w:rsidRPr="00CD0FE3">
        <w:rPr>
          <w:b/>
          <w:bCs/>
        </w:rPr>
        <w:t>.</w:t>
      </w:r>
      <w:r w:rsidRPr="00EA5BE0">
        <w:t xml:space="preserve"> ESA (20</w:t>
      </w:r>
      <w:r w:rsidR="00124125">
        <w:t>24</w:t>
      </w:r>
      <w:r w:rsidRPr="00EA5BE0">
        <w:t>)</w:t>
      </w:r>
      <w:r w:rsidR="00D37E2C">
        <w:t xml:space="preserve"> </w:t>
      </w:r>
      <w:r w:rsidR="00124125">
        <w:t xml:space="preserve">First update of surgery in obese patient guidelines </w:t>
      </w:r>
    </w:p>
    <w:tbl>
      <w:tblPr>
        <w:tblStyle w:val="AlternateTable"/>
        <w:tblW w:w="5000" w:type="pct"/>
        <w:tblLook w:val="04A0" w:firstRow="1" w:lastRow="0" w:firstColumn="1" w:lastColumn="0" w:noHBand="0" w:noVBand="1"/>
      </w:tblPr>
      <w:tblGrid>
        <w:gridCol w:w="9575"/>
        <w:gridCol w:w="1795"/>
        <w:gridCol w:w="1590"/>
      </w:tblGrid>
      <w:tr w:rsidR="00B229D3" w:rsidRPr="00EA5BE0" w14:paraId="757E6066" w14:textId="77777777" w:rsidTr="007A2A13">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9810" w:type="dxa"/>
            <w:vAlign w:val="bottom"/>
            <w:hideMark/>
          </w:tcPr>
          <w:p w14:paraId="1BFBF2FC" w14:textId="77777777" w:rsidR="00B229D3" w:rsidRPr="00EA5BE0" w:rsidRDefault="00B229D3" w:rsidP="00CD0FE3">
            <w:pPr>
              <w:pStyle w:val="TableHeaderLeft"/>
              <w:rPr>
                <w:b w:val="0"/>
              </w:rPr>
            </w:pPr>
            <w:r w:rsidRPr="00EA5BE0">
              <w:t>Verbatim Guideline</w:t>
            </w:r>
          </w:p>
        </w:tc>
        <w:tc>
          <w:tcPr>
            <w:tcW w:w="1800" w:type="dxa"/>
            <w:vAlign w:val="bottom"/>
            <w:hideMark/>
          </w:tcPr>
          <w:p w14:paraId="2BA56C1D" w14:textId="77777777" w:rsidR="00B229D3" w:rsidRPr="00EA5BE0" w:rsidRDefault="00B229D3" w:rsidP="00CD0FE3">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611" w:type="dxa"/>
            <w:vAlign w:val="bottom"/>
            <w:hideMark/>
          </w:tcPr>
          <w:p w14:paraId="043161B7" w14:textId="77777777" w:rsidR="00B229D3" w:rsidRPr="00EA5BE0" w:rsidRDefault="00B229D3" w:rsidP="00CD0FE3">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CD0FE3" w:rsidRPr="00EA5BE0" w14:paraId="48D4128B"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9810" w:type="dxa"/>
            <w:shd w:val="clear" w:color="auto" w:fill="0B2949" w:themeFill="accent1"/>
          </w:tcPr>
          <w:p w14:paraId="140813CB" w14:textId="24F036B0" w:rsidR="00CD0FE3" w:rsidRPr="00D33FBD" w:rsidRDefault="00CD0FE3" w:rsidP="00A31B96">
            <w:pPr>
              <w:pStyle w:val="TableRowHead"/>
              <w:rPr>
                <w:color w:val="000000"/>
              </w:rPr>
            </w:pPr>
            <w:r w:rsidRPr="00055496">
              <w:t>Bariatric surgery</w:t>
            </w:r>
          </w:p>
        </w:tc>
        <w:tc>
          <w:tcPr>
            <w:tcW w:w="1800" w:type="dxa"/>
            <w:shd w:val="clear" w:color="auto" w:fill="0B2949" w:themeFill="accent1"/>
          </w:tcPr>
          <w:p w14:paraId="14EC155C" w14:textId="77777777" w:rsidR="00CD0FE3" w:rsidRDefault="00CD0FE3" w:rsidP="00A31B96">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611" w:type="dxa"/>
            <w:shd w:val="clear" w:color="auto" w:fill="0B2949" w:themeFill="accent1"/>
          </w:tcPr>
          <w:p w14:paraId="3FFC3041" w14:textId="77777777" w:rsidR="00CD0FE3" w:rsidRDefault="00CD0FE3" w:rsidP="00A31B96">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CD0FE3" w:rsidRPr="00EA5BE0" w14:paraId="75B4B346"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9810" w:type="dxa"/>
            <w:hideMark/>
          </w:tcPr>
          <w:p w14:paraId="0BE9DDB7" w14:textId="46A4BE30" w:rsidR="00CD0FE3" w:rsidRPr="00EA5BE0" w:rsidRDefault="00CD0FE3" w:rsidP="00CD0FE3">
            <w:pPr>
              <w:pStyle w:val="TableTextLeft"/>
            </w:pPr>
            <w:r w:rsidRPr="00D33FBD">
              <w:t>We recommend VTE prophylaxis with LMWH, UFH or fondaparinux over no prophylaxis in patients with high VTE risk and low risk for bleeding</w:t>
            </w:r>
            <w:r>
              <w:t>.</w:t>
            </w:r>
          </w:p>
        </w:tc>
        <w:tc>
          <w:tcPr>
            <w:tcW w:w="1800" w:type="dxa"/>
            <w:hideMark/>
          </w:tcPr>
          <w:p w14:paraId="25EB78B1" w14:textId="37FE790A"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t>1</w:t>
            </w:r>
          </w:p>
        </w:tc>
        <w:tc>
          <w:tcPr>
            <w:tcW w:w="1611" w:type="dxa"/>
            <w:hideMark/>
          </w:tcPr>
          <w:p w14:paraId="5581F584" w14:textId="3ED9C13C"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t>B</w:t>
            </w:r>
          </w:p>
        </w:tc>
      </w:tr>
      <w:tr w:rsidR="00CD0FE3" w:rsidRPr="00EA5BE0" w14:paraId="3BF2CC64"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9810" w:type="dxa"/>
            <w:hideMark/>
          </w:tcPr>
          <w:p w14:paraId="304E7AF8" w14:textId="403E28DE" w:rsidR="00CD0FE3" w:rsidRPr="00EA5BE0" w:rsidRDefault="00CD0FE3" w:rsidP="00CD0FE3">
            <w:pPr>
              <w:pStyle w:val="TableTextLeft"/>
            </w:pPr>
            <w:r w:rsidRPr="00A873B5">
              <w:t>We suggest VTE prophylaxis with LMWH over UFH or DOAC (rivaroxaban or apixaban)</w:t>
            </w:r>
            <w:r>
              <w:t>.</w:t>
            </w:r>
          </w:p>
        </w:tc>
        <w:tc>
          <w:tcPr>
            <w:tcW w:w="1800" w:type="dxa"/>
            <w:hideMark/>
          </w:tcPr>
          <w:p w14:paraId="4DD03D5B" w14:textId="77777777"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611" w:type="dxa"/>
            <w:hideMark/>
          </w:tcPr>
          <w:p w14:paraId="48CEADEA" w14:textId="77777777"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D0FE3" w:rsidRPr="00EA5BE0" w14:paraId="719549CB"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9810" w:type="dxa"/>
            <w:hideMark/>
          </w:tcPr>
          <w:p w14:paraId="6C97DEC2" w14:textId="1FC9A4C6" w:rsidR="00CD0FE3" w:rsidRPr="00EA5BE0" w:rsidRDefault="00CD0FE3" w:rsidP="00CD0FE3">
            <w:pPr>
              <w:pStyle w:val="TableTextLeft"/>
            </w:pPr>
            <w:r w:rsidRPr="00A873B5">
              <w:t>We suggest prophylaxis with higher doses of LMWH, UFH or fondaparinux over standard doses, particularly in patients with BMI greater than 40 or weight greater than 150 kg (Grade 2B). We suggest against routine monitoring of anti-Xa levels in patients receiving LMWH, UFH or fondaparinux</w:t>
            </w:r>
            <w:r>
              <w:t xml:space="preserve"> (Grade 2C).</w:t>
            </w:r>
          </w:p>
        </w:tc>
        <w:tc>
          <w:tcPr>
            <w:tcW w:w="1800" w:type="dxa"/>
            <w:hideMark/>
          </w:tcPr>
          <w:p w14:paraId="0482B787" w14:textId="315F1C03" w:rsidR="00CD0FE3"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t>2</w:t>
            </w:r>
          </w:p>
          <w:p w14:paraId="1949AECB" w14:textId="25C75896"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t>2</w:t>
            </w:r>
          </w:p>
        </w:tc>
        <w:tc>
          <w:tcPr>
            <w:tcW w:w="1611" w:type="dxa"/>
            <w:hideMark/>
          </w:tcPr>
          <w:p w14:paraId="44BAB5C2" w14:textId="4F260F10" w:rsidR="00CD0FE3"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t>B</w:t>
            </w:r>
          </w:p>
          <w:p w14:paraId="3AC34E08" w14:textId="49DBAA2B"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D0FE3" w:rsidRPr="00EA5BE0" w14:paraId="647309A5"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9810" w:type="dxa"/>
            <w:hideMark/>
          </w:tcPr>
          <w:p w14:paraId="073CD621" w14:textId="24AB58EC" w:rsidR="00CD0FE3" w:rsidRPr="00EA5BE0" w:rsidRDefault="00CD0FE3" w:rsidP="00CD0FE3">
            <w:pPr>
              <w:pStyle w:val="TableTextLeft"/>
            </w:pPr>
            <w:r w:rsidRPr="00D61D9A">
              <w:t>We suggest mechanical methods of prophylaxis over no prophylaxis in patients with high VTE risk and high risk of bleeding</w:t>
            </w:r>
            <w:r>
              <w:t>.</w:t>
            </w:r>
          </w:p>
        </w:tc>
        <w:tc>
          <w:tcPr>
            <w:tcW w:w="1800" w:type="dxa"/>
            <w:hideMark/>
          </w:tcPr>
          <w:p w14:paraId="43EF5A53" w14:textId="13B8E9F4"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t>2</w:t>
            </w:r>
          </w:p>
        </w:tc>
        <w:tc>
          <w:tcPr>
            <w:tcW w:w="1611" w:type="dxa"/>
            <w:hideMark/>
          </w:tcPr>
          <w:p w14:paraId="5068EDAE" w14:textId="77777777"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CD0FE3" w:rsidRPr="00EA5BE0" w14:paraId="27F3DC06"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9810" w:type="dxa"/>
            <w:hideMark/>
          </w:tcPr>
          <w:p w14:paraId="2C45EC30" w14:textId="61C28BD5" w:rsidR="00CD0FE3" w:rsidRPr="00EA5BE0" w:rsidRDefault="00CD0FE3" w:rsidP="00CD0FE3">
            <w:pPr>
              <w:pStyle w:val="TableTextLeft"/>
            </w:pPr>
            <w:r w:rsidRPr="00D61D9A">
              <w:t>We suggest combined prophylaxis with LMWH and mechanical methods (intermittent pneumatic compression) over mechanical methods alone</w:t>
            </w:r>
            <w:r>
              <w:t>.</w:t>
            </w:r>
          </w:p>
        </w:tc>
        <w:tc>
          <w:tcPr>
            <w:tcW w:w="1800" w:type="dxa"/>
            <w:hideMark/>
          </w:tcPr>
          <w:p w14:paraId="1182C0D6" w14:textId="77777777"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611" w:type="dxa"/>
            <w:hideMark/>
          </w:tcPr>
          <w:p w14:paraId="602C8B96" w14:textId="387058F2"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t>A</w:t>
            </w:r>
          </w:p>
        </w:tc>
      </w:tr>
      <w:tr w:rsidR="00CD0FE3" w:rsidRPr="00EA5BE0" w14:paraId="62E36482"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9810" w:type="dxa"/>
          </w:tcPr>
          <w:p w14:paraId="0F859916" w14:textId="3AA20968" w:rsidR="00CD0FE3" w:rsidRPr="00EA5BE0" w:rsidRDefault="00CD0FE3" w:rsidP="00CD0FE3">
            <w:pPr>
              <w:pStyle w:val="TableTextLeft"/>
            </w:pPr>
            <w:r w:rsidRPr="00A50122">
              <w:t>We recommend extending pharmacological prophylaxis with LMWH, UFH or fondaparinux for at least 10 days over prophylaxis limited to hospital stay in patients with high VTE risk</w:t>
            </w:r>
            <w:r>
              <w:t>.</w:t>
            </w:r>
          </w:p>
        </w:tc>
        <w:tc>
          <w:tcPr>
            <w:tcW w:w="1800" w:type="dxa"/>
          </w:tcPr>
          <w:p w14:paraId="134E89E8" w14:textId="1B5ED6E0"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t>1</w:t>
            </w:r>
          </w:p>
        </w:tc>
        <w:tc>
          <w:tcPr>
            <w:tcW w:w="1611" w:type="dxa"/>
          </w:tcPr>
          <w:p w14:paraId="470D4380" w14:textId="206600AE"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t>C</w:t>
            </w:r>
          </w:p>
        </w:tc>
      </w:tr>
      <w:tr w:rsidR="00CD0FE3" w:rsidRPr="00EA5BE0" w14:paraId="437BD94E"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9810" w:type="dxa"/>
            <w:shd w:val="clear" w:color="auto" w:fill="0B2949" w:themeFill="accent1"/>
          </w:tcPr>
          <w:p w14:paraId="21434EDB" w14:textId="2F2AF80E" w:rsidR="00CD0FE3" w:rsidRPr="00E100F5" w:rsidRDefault="00CD0FE3" w:rsidP="00A31B96">
            <w:pPr>
              <w:pStyle w:val="TableRowHead"/>
            </w:pPr>
            <w:r w:rsidRPr="00A50122">
              <w:t>Nonbariatric surgery</w:t>
            </w:r>
          </w:p>
        </w:tc>
        <w:tc>
          <w:tcPr>
            <w:tcW w:w="1800" w:type="dxa"/>
            <w:shd w:val="clear" w:color="auto" w:fill="0B2949" w:themeFill="accent1"/>
          </w:tcPr>
          <w:p w14:paraId="2E34E0F5" w14:textId="77777777" w:rsidR="00CD0FE3" w:rsidRDefault="00CD0FE3" w:rsidP="00A31B96">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611" w:type="dxa"/>
            <w:shd w:val="clear" w:color="auto" w:fill="0B2949" w:themeFill="accent1"/>
          </w:tcPr>
          <w:p w14:paraId="3DA6CFBA" w14:textId="77777777" w:rsidR="00CD0FE3" w:rsidRDefault="00CD0FE3" w:rsidP="00A31B96">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CD0FE3" w:rsidRPr="00EA5BE0" w14:paraId="36C41231"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9810" w:type="dxa"/>
          </w:tcPr>
          <w:p w14:paraId="4B912517" w14:textId="1B776C5D" w:rsidR="00CD0FE3" w:rsidRPr="00EA5BE0" w:rsidRDefault="00CD0FE3" w:rsidP="00CD0FE3">
            <w:pPr>
              <w:pStyle w:val="TableTextLeft"/>
            </w:pPr>
            <w:r w:rsidRPr="00E100F5">
              <w:t>We suggest higher doses of LMWH in obese patients (BMI &gt;40 kg m−2</w:t>
            </w:r>
            <w:r>
              <w:t>)</w:t>
            </w:r>
            <w:r w:rsidRPr="00E100F5">
              <w:t xml:space="preserve"> at high risk of VTE and low risk for bleeding undergoing non-bariatric major surgery</w:t>
            </w:r>
            <w:r>
              <w:t>.</w:t>
            </w:r>
          </w:p>
        </w:tc>
        <w:tc>
          <w:tcPr>
            <w:tcW w:w="1800" w:type="dxa"/>
          </w:tcPr>
          <w:p w14:paraId="1A48D267" w14:textId="18E3CF56"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t>2</w:t>
            </w:r>
          </w:p>
        </w:tc>
        <w:tc>
          <w:tcPr>
            <w:tcW w:w="1611" w:type="dxa"/>
          </w:tcPr>
          <w:p w14:paraId="76BC743C" w14:textId="5D203970" w:rsidR="00CD0FE3" w:rsidRPr="00EA5BE0" w:rsidRDefault="00CD0FE3" w:rsidP="00EB7E54">
            <w:pPr>
              <w:pStyle w:val="TableTextLeft"/>
              <w:cnfStyle w:val="000000000000" w:firstRow="0" w:lastRow="0" w:firstColumn="0" w:lastColumn="0" w:oddVBand="0" w:evenVBand="0" w:oddHBand="0" w:evenHBand="0" w:firstRowFirstColumn="0" w:firstRowLastColumn="0" w:lastRowFirstColumn="0" w:lastRowLastColumn="0"/>
            </w:pPr>
            <w:r>
              <w:t>C</w:t>
            </w:r>
          </w:p>
        </w:tc>
      </w:tr>
    </w:tbl>
    <w:p w14:paraId="05183494" w14:textId="74C73779" w:rsidR="00EA5BE0" w:rsidRPr="00EA5BE0" w:rsidRDefault="00EA5BE0" w:rsidP="00BA5993">
      <w:pPr>
        <w:pStyle w:val="H3"/>
        <w:rPr>
          <w:rFonts w:eastAsia="Times New Roman"/>
        </w:rPr>
      </w:pPr>
      <w:bookmarkStart w:id="21" w:name="_Toc195287987"/>
      <w:r w:rsidRPr="00EA5BE0">
        <w:rPr>
          <w:rFonts w:eastAsia="Times New Roman"/>
        </w:rPr>
        <w:t>4.2</w:t>
      </w:r>
      <w:r w:rsidR="00EA4531">
        <w:rPr>
          <w:rFonts w:eastAsia="Times New Roman"/>
        </w:rPr>
        <w:t>.</w:t>
      </w:r>
      <w:r w:rsidR="00EA4531">
        <w:rPr>
          <w:rFonts w:eastAsia="Times New Roman"/>
        </w:rPr>
        <w:tab/>
      </w:r>
      <w:r w:rsidR="00F60947">
        <w:rPr>
          <w:rFonts w:eastAsia="Times New Roman"/>
        </w:rPr>
        <w:t>ESA</w:t>
      </w:r>
      <w:r w:rsidRPr="00EA5BE0">
        <w:rPr>
          <w:rFonts w:eastAsia="Times New Roman"/>
        </w:rPr>
        <w:t>: Surgery in the elderly</w:t>
      </w:r>
      <w:bookmarkEnd w:id="21"/>
    </w:p>
    <w:p w14:paraId="0CA5C432" w14:textId="77777777" w:rsidR="00EA5BE0" w:rsidRPr="00A31B96" w:rsidRDefault="00EA5BE0" w:rsidP="00A31B96">
      <w:pPr>
        <w:pStyle w:val="Paragraph"/>
        <w:rPr>
          <w:rStyle w:val="Hyperlink"/>
        </w:rPr>
      </w:pPr>
      <w:hyperlink r:id="rId24" w:history="1">
        <w:r w:rsidRPr="00A31B96">
          <w:rPr>
            <w:rStyle w:val="Hyperlink"/>
          </w:rPr>
          <w:t>Kozek-Langenecker, S., Fenger-Eriksen, C., Thienpont, E., &amp; Barauskas, G. (2018). European guidelines on perioperative venous thromboembolism prophylaxis: Surgery in the elderly. European Journal of Anaesthesiology, 35(2), 116-122. https://doi.org/10.1097/EJA.0000000000000705</w:t>
        </w:r>
      </w:hyperlink>
    </w:p>
    <w:p w14:paraId="4E646F01" w14:textId="76C9C443" w:rsidR="00EA5BE0" w:rsidRPr="006B5917" w:rsidRDefault="00EA5BE0" w:rsidP="00EA5BE0">
      <w:pPr>
        <w:suppressAutoHyphens/>
        <w:spacing w:before="240" w:after="120" w:line="276" w:lineRule="auto"/>
        <w:rPr>
          <w:rFonts w:eastAsia="Calibri" w:cstheme="minorHAnsi"/>
          <w:szCs w:val="20"/>
        </w:rPr>
      </w:pPr>
      <w:r w:rsidRPr="006B5917">
        <w:rPr>
          <w:rFonts w:eastAsia="Calibri" w:cstheme="minorHAnsi"/>
          <w:szCs w:val="20"/>
        </w:rPr>
        <w:t xml:space="preserve">Key guideline recommendations for elderly patients undergoing surgery are included in </w:t>
      </w:r>
      <w:r w:rsidRPr="006B5917">
        <w:rPr>
          <w:rFonts w:eastAsia="Calibri" w:cstheme="minorHAnsi"/>
          <w:b/>
          <w:bCs/>
          <w:szCs w:val="20"/>
        </w:rPr>
        <w:t xml:space="preserve">Table </w:t>
      </w:r>
      <w:r w:rsidR="00583356">
        <w:rPr>
          <w:rFonts w:eastAsia="Calibri" w:cstheme="minorHAnsi"/>
          <w:b/>
          <w:bCs/>
          <w:szCs w:val="20"/>
        </w:rPr>
        <w:t>22</w:t>
      </w:r>
      <w:r w:rsidRPr="006B5917">
        <w:rPr>
          <w:rFonts w:eastAsia="Calibri" w:cstheme="minorHAnsi"/>
          <w:b/>
          <w:bCs/>
          <w:szCs w:val="20"/>
        </w:rPr>
        <w:t xml:space="preserve"> </w:t>
      </w:r>
      <w:r w:rsidRPr="006B5917">
        <w:rPr>
          <w:rFonts w:eastAsia="Calibri" w:cstheme="minorHAnsi"/>
          <w:szCs w:val="20"/>
        </w:rPr>
        <w:t>below.</w:t>
      </w:r>
    </w:p>
    <w:p w14:paraId="7E036615" w14:textId="550353CC" w:rsidR="00EA5BE0" w:rsidRPr="00EA5BE0" w:rsidRDefault="00EA5BE0" w:rsidP="006B5917">
      <w:pPr>
        <w:pStyle w:val="TableTitle"/>
      </w:pPr>
      <w:r w:rsidRPr="00225D31">
        <w:rPr>
          <w:b/>
          <w:bCs/>
        </w:rPr>
        <w:lastRenderedPageBreak/>
        <w:t xml:space="preserve">Table </w:t>
      </w:r>
      <w:r w:rsidR="00B8378B" w:rsidRPr="00225D31">
        <w:rPr>
          <w:b/>
          <w:bCs/>
        </w:rPr>
        <w:t>22</w:t>
      </w:r>
      <w:r w:rsidR="00225D31" w:rsidRPr="00225D31">
        <w:rPr>
          <w:b/>
          <w:bCs/>
        </w:rPr>
        <w:t>.</w:t>
      </w:r>
      <w:r w:rsidRPr="00EA5BE0">
        <w:t xml:space="preserve"> ESA (2018)</w:t>
      </w:r>
      <w:r w:rsidR="00D37E2C">
        <w:t xml:space="preserve"> </w:t>
      </w:r>
      <w:r w:rsidR="00B018C2">
        <w:t>Guidelines focused on elderly patients undergoing surgery</w:t>
      </w:r>
    </w:p>
    <w:tbl>
      <w:tblPr>
        <w:tblStyle w:val="AlternateTable"/>
        <w:tblW w:w="5000" w:type="pct"/>
        <w:tblLook w:val="04A0" w:firstRow="1" w:lastRow="0" w:firstColumn="1" w:lastColumn="0" w:noHBand="0" w:noVBand="1"/>
      </w:tblPr>
      <w:tblGrid>
        <w:gridCol w:w="10092"/>
        <w:gridCol w:w="1707"/>
        <w:gridCol w:w="1161"/>
      </w:tblGrid>
      <w:tr w:rsidR="00EA5BE0" w:rsidRPr="00EA5BE0" w14:paraId="1AE5FCEC" w14:textId="77777777" w:rsidTr="007A2A13">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10350" w:type="dxa"/>
            <w:vAlign w:val="bottom"/>
            <w:hideMark/>
          </w:tcPr>
          <w:p w14:paraId="637022F8" w14:textId="77777777" w:rsidR="00EA5BE0" w:rsidRPr="00EA5BE0" w:rsidRDefault="00EA5BE0" w:rsidP="00225D31">
            <w:pPr>
              <w:pStyle w:val="TableHeaderLeft"/>
              <w:rPr>
                <w:b w:val="0"/>
              </w:rPr>
            </w:pPr>
            <w:r w:rsidRPr="00EA5BE0">
              <w:t>Verbatim Guideline</w:t>
            </w:r>
          </w:p>
        </w:tc>
        <w:tc>
          <w:tcPr>
            <w:tcW w:w="1710" w:type="dxa"/>
            <w:vAlign w:val="bottom"/>
            <w:hideMark/>
          </w:tcPr>
          <w:p w14:paraId="5FFA814C" w14:textId="77777777" w:rsidR="00EA5BE0" w:rsidRPr="00EA5BE0" w:rsidRDefault="00EA5BE0" w:rsidP="00225D31">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170" w:type="dxa"/>
            <w:vAlign w:val="bottom"/>
            <w:hideMark/>
          </w:tcPr>
          <w:p w14:paraId="283F2E75" w14:textId="77777777" w:rsidR="00EA5BE0" w:rsidRPr="00EA5BE0" w:rsidRDefault="00EA5BE0" w:rsidP="00225D31">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225D31" w:rsidRPr="00EA5BE0" w14:paraId="123E7B28"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10350" w:type="dxa"/>
            <w:shd w:val="clear" w:color="auto" w:fill="0B2949" w:themeFill="accent1"/>
          </w:tcPr>
          <w:p w14:paraId="4F0B6ACA" w14:textId="3D06D3AD" w:rsidR="00225D31" w:rsidRPr="00EA5BE0" w:rsidRDefault="00225D31" w:rsidP="00225D31">
            <w:pPr>
              <w:pStyle w:val="TableRowHead"/>
              <w:rPr>
                <w:color w:val="000000"/>
              </w:rPr>
            </w:pPr>
            <w:r w:rsidRPr="006B5917">
              <w:t>Surgery in the elderly</w:t>
            </w:r>
          </w:p>
        </w:tc>
        <w:tc>
          <w:tcPr>
            <w:tcW w:w="1710" w:type="dxa"/>
            <w:shd w:val="clear" w:color="auto" w:fill="0B2949" w:themeFill="accent1"/>
          </w:tcPr>
          <w:p w14:paraId="040C9696" w14:textId="77777777" w:rsidR="00225D31" w:rsidRPr="00EA5BE0" w:rsidRDefault="00225D31" w:rsidP="00225D31">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tcPr>
          <w:p w14:paraId="71F9ABBE" w14:textId="77777777" w:rsidR="00225D31" w:rsidRPr="00EA5BE0" w:rsidRDefault="00225D31" w:rsidP="00225D31">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EA5BE0" w:rsidRPr="00EA5BE0" w14:paraId="0E203050"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10350" w:type="dxa"/>
            <w:hideMark/>
          </w:tcPr>
          <w:p w14:paraId="191DCB1C" w14:textId="77777777" w:rsidR="00EA5BE0" w:rsidRPr="00EA5BE0" w:rsidRDefault="00EA5BE0" w:rsidP="00225D31">
            <w:pPr>
              <w:pStyle w:val="TableTextLeft"/>
            </w:pPr>
            <w:r w:rsidRPr="00EA5BE0">
              <w:t xml:space="preserve">Age over 70 years is a risk factor for postoperative VTE. </w:t>
            </w:r>
          </w:p>
        </w:tc>
        <w:tc>
          <w:tcPr>
            <w:tcW w:w="1710" w:type="dxa"/>
            <w:hideMark/>
          </w:tcPr>
          <w:p w14:paraId="2705AD7E"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N/A</w:t>
            </w:r>
          </w:p>
        </w:tc>
        <w:tc>
          <w:tcPr>
            <w:tcW w:w="1170" w:type="dxa"/>
            <w:hideMark/>
          </w:tcPr>
          <w:p w14:paraId="1FDD76B8"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EA5BE0" w:rsidRPr="00EA5BE0" w14:paraId="1EF58EAF"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10350" w:type="dxa"/>
            <w:hideMark/>
          </w:tcPr>
          <w:p w14:paraId="03EA1AC6" w14:textId="4278401E" w:rsidR="00EA5BE0" w:rsidRPr="00EA5BE0" w:rsidRDefault="00EA5BE0" w:rsidP="00225D31">
            <w:pPr>
              <w:pStyle w:val="TableTextLeft"/>
            </w:pPr>
            <w:r w:rsidRPr="00EA5BE0">
              <w:t xml:space="preserve">In elderly patients, we suggest identification of comorbidities increasing the risk for VTE (e.g. congestive heart failure, pulmonary circulation disorder, renal failure, lymphoma, metastatic cancer, obesity, arthritis, post-menopausal estrogen therapy) and correction if present (e.g. </w:t>
            </w:r>
            <w:r w:rsidR="008B69BD" w:rsidRPr="00EA5BE0">
              <w:t>anemia</w:t>
            </w:r>
            <w:r w:rsidRPr="00EA5BE0">
              <w:t>, coagulopathy).</w:t>
            </w:r>
          </w:p>
        </w:tc>
        <w:tc>
          <w:tcPr>
            <w:tcW w:w="1710" w:type="dxa"/>
            <w:hideMark/>
          </w:tcPr>
          <w:p w14:paraId="4711C9C3"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107621A6"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37786BA6"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10350" w:type="dxa"/>
            <w:hideMark/>
          </w:tcPr>
          <w:p w14:paraId="4D6F9DF3" w14:textId="77777777" w:rsidR="00EA5BE0" w:rsidRPr="00EA5BE0" w:rsidRDefault="00EA5BE0" w:rsidP="00225D31">
            <w:pPr>
              <w:pStyle w:val="TableTextLeft"/>
            </w:pPr>
            <w:r w:rsidRPr="00EA5BE0">
              <w:t>We suggest against bilateral knee replacement in elderly and frail patients.</w:t>
            </w:r>
          </w:p>
        </w:tc>
        <w:tc>
          <w:tcPr>
            <w:tcW w:w="1710" w:type="dxa"/>
            <w:hideMark/>
          </w:tcPr>
          <w:p w14:paraId="4E0B4CF7"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229489D5"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7C026FDD"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10350" w:type="dxa"/>
            <w:hideMark/>
          </w:tcPr>
          <w:p w14:paraId="21C68CC8" w14:textId="77777777" w:rsidR="00EA5BE0" w:rsidRPr="00EA5BE0" w:rsidRDefault="00EA5BE0" w:rsidP="00225D31">
            <w:pPr>
              <w:pStyle w:val="TableTextLeft"/>
            </w:pPr>
            <w:r w:rsidRPr="00EA5BE0">
              <w:t>We suggest timing and dosing of pharmacological VTE prophylaxis as in the non-aged population.</w:t>
            </w:r>
          </w:p>
        </w:tc>
        <w:tc>
          <w:tcPr>
            <w:tcW w:w="1710" w:type="dxa"/>
            <w:hideMark/>
          </w:tcPr>
          <w:p w14:paraId="5913A773"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620BDBF7"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636F87E9"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10350" w:type="dxa"/>
            <w:hideMark/>
          </w:tcPr>
          <w:p w14:paraId="048A6906" w14:textId="77777777" w:rsidR="00EA5BE0" w:rsidRPr="00EA5BE0" w:rsidRDefault="00EA5BE0" w:rsidP="00225D31">
            <w:pPr>
              <w:pStyle w:val="TableTextLeft"/>
            </w:pPr>
            <w:r w:rsidRPr="00EA5BE0">
              <w:t>In elderly patients with renal failure, low-dose unfractionated heparin may be used or weight-adjusted dosing of LMWH.</w:t>
            </w:r>
          </w:p>
        </w:tc>
        <w:tc>
          <w:tcPr>
            <w:tcW w:w="1710" w:type="dxa"/>
            <w:hideMark/>
          </w:tcPr>
          <w:p w14:paraId="4CEBC8D8"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0C84F31E"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0A0F3BA9"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10350" w:type="dxa"/>
            <w:hideMark/>
          </w:tcPr>
          <w:p w14:paraId="48BDD075" w14:textId="77777777" w:rsidR="00EA5BE0" w:rsidRPr="00EA5BE0" w:rsidRDefault="00EA5BE0" w:rsidP="00225D31">
            <w:pPr>
              <w:pStyle w:val="TableTextLeft"/>
            </w:pPr>
            <w:r w:rsidRPr="00EA5BE0">
              <w:t xml:space="preserve">In the elderly, we recommend careful prescription of postoperative VTE prophylaxis and early postoperative </w:t>
            </w:r>
            <w:proofErr w:type="spellStart"/>
            <w:r w:rsidRPr="00EA5BE0">
              <w:t>mobilisation</w:t>
            </w:r>
            <w:proofErr w:type="spellEnd"/>
            <w:r w:rsidRPr="00EA5BE0">
              <w:t>.</w:t>
            </w:r>
          </w:p>
        </w:tc>
        <w:tc>
          <w:tcPr>
            <w:tcW w:w="1710" w:type="dxa"/>
            <w:hideMark/>
          </w:tcPr>
          <w:p w14:paraId="34F2F80A"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682261CF"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4E553E94" w14:textId="77777777" w:rsidTr="007A2A13">
        <w:trPr>
          <w:trHeight w:val="120"/>
        </w:trPr>
        <w:tc>
          <w:tcPr>
            <w:cnfStyle w:val="001000000000" w:firstRow="0" w:lastRow="0" w:firstColumn="1" w:lastColumn="0" w:oddVBand="0" w:evenVBand="0" w:oddHBand="0" w:evenHBand="0" w:firstRowFirstColumn="0" w:firstRowLastColumn="0" w:lastRowFirstColumn="0" w:lastRowLastColumn="0"/>
            <w:tcW w:w="10350" w:type="dxa"/>
            <w:hideMark/>
          </w:tcPr>
          <w:p w14:paraId="057086BC" w14:textId="77777777" w:rsidR="00EA5BE0" w:rsidRPr="00EA5BE0" w:rsidRDefault="00EA5BE0" w:rsidP="00225D31">
            <w:pPr>
              <w:pStyle w:val="TableTextLeft"/>
            </w:pPr>
            <w:r w:rsidRPr="00EA5BE0">
              <w:t>We recommend multi-faceted interventions for VTE prophylaxis in elderly and frail patients, including pneumatic compression devices, LMWH (and/or direct oral anti-coagulants after knee or hip replacement).</w:t>
            </w:r>
          </w:p>
        </w:tc>
        <w:tc>
          <w:tcPr>
            <w:tcW w:w="1710" w:type="dxa"/>
            <w:hideMark/>
          </w:tcPr>
          <w:p w14:paraId="48ED8096"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5A6ACD5D" w14:textId="77777777" w:rsidR="00EA5BE0" w:rsidRPr="00EA5BE0" w:rsidRDefault="00EA5BE0" w:rsidP="00EB7E54">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bl>
    <w:p w14:paraId="374E8CC8" w14:textId="1464C738" w:rsidR="00EA5BE0" w:rsidRPr="00EA5BE0" w:rsidRDefault="00EA5BE0" w:rsidP="00BA5993">
      <w:pPr>
        <w:pStyle w:val="H3"/>
        <w:rPr>
          <w:rFonts w:eastAsia="Times New Roman"/>
        </w:rPr>
      </w:pPr>
      <w:bookmarkStart w:id="22" w:name="_Toc195287988"/>
      <w:r w:rsidRPr="00EA5BE0">
        <w:rPr>
          <w:rFonts w:eastAsia="Times New Roman"/>
        </w:rPr>
        <w:t>4.3</w:t>
      </w:r>
      <w:r w:rsidR="00F139F9">
        <w:rPr>
          <w:rFonts w:eastAsia="Times New Roman"/>
        </w:rPr>
        <w:t>.</w:t>
      </w:r>
      <w:r w:rsidR="00F139F9">
        <w:rPr>
          <w:rFonts w:eastAsia="Times New Roman"/>
        </w:rPr>
        <w:tab/>
      </w:r>
      <w:r w:rsidR="00F60947">
        <w:rPr>
          <w:rFonts w:eastAsia="Times New Roman"/>
        </w:rPr>
        <w:t>ESA</w:t>
      </w:r>
      <w:r w:rsidRPr="00EA5BE0">
        <w:rPr>
          <w:rFonts w:eastAsia="Times New Roman"/>
        </w:rPr>
        <w:t>: Intensive care</w:t>
      </w:r>
      <w:bookmarkEnd w:id="22"/>
    </w:p>
    <w:p w14:paraId="5B7BA667" w14:textId="77777777" w:rsidR="00EA5BE0" w:rsidRPr="00006C9E" w:rsidRDefault="00EA5BE0" w:rsidP="00EA5BE0">
      <w:pPr>
        <w:spacing w:after="0" w:line="240" w:lineRule="auto"/>
        <w:rPr>
          <w:rFonts w:eastAsia="Times New Roman" w:cstheme="minorHAnsi"/>
          <w:szCs w:val="20"/>
        </w:rPr>
      </w:pPr>
      <w:hyperlink r:id="rId25" w:history="1">
        <w:r w:rsidRPr="00006C9E">
          <w:rPr>
            <w:rFonts w:eastAsia="Times New Roman" w:cstheme="minorHAnsi"/>
            <w:color w:val="00507F"/>
            <w:szCs w:val="20"/>
            <w:u w:val="single"/>
          </w:rPr>
          <w:t xml:space="preserve">Duranteau, J., Taccone, F. S., Verhamme, P., &amp; Ageno, W. (2018). European guidelines on perioperative venous thromboembolism prophylaxis: Intensive care. </w:t>
        </w:r>
        <w:r w:rsidRPr="00006C9E">
          <w:rPr>
            <w:rFonts w:eastAsia="Times New Roman" w:cstheme="minorHAnsi"/>
            <w:i/>
            <w:iCs/>
            <w:color w:val="00507F"/>
            <w:szCs w:val="20"/>
            <w:u w:val="single"/>
          </w:rPr>
          <w:t>European Journal of Anaesthesiology</w:t>
        </w:r>
        <w:r w:rsidRPr="00006C9E">
          <w:rPr>
            <w:rFonts w:eastAsia="Times New Roman" w:cstheme="minorHAnsi"/>
            <w:color w:val="00507F"/>
            <w:szCs w:val="20"/>
            <w:u w:val="single"/>
          </w:rPr>
          <w:t xml:space="preserve">, </w:t>
        </w:r>
        <w:r w:rsidRPr="00006C9E">
          <w:rPr>
            <w:rFonts w:eastAsia="Times New Roman" w:cstheme="minorHAnsi"/>
            <w:i/>
            <w:iCs/>
            <w:color w:val="00507F"/>
            <w:szCs w:val="20"/>
            <w:u w:val="single"/>
          </w:rPr>
          <w:t>35</w:t>
        </w:r>
        <w:r w:rsidRPr="00006C9E">
          <w:rPr>
            <w:rFonts w:eastAsia="Times New Roman" w:cstheme="minorHAnsi"/>
            <w:color w:val="00507F"/>
            <w:szCs w:val="20"/>
            <w:u w:val="single"/>
          </w:rPr>
          <w:t>(2), 142–146. https://doi.org/10.1097/EJA.0000000000000707</w:t>
        </w:r>
      </w:hyperlink>
    </w:p>
    <w:p w14:paraId="1FD0A566" w14:textId="25B2896E" w:rsidR="00EA5BE0" w:rsidRPr="006B5917" w:rsidRDefault="00EA5BE0" w:rsidP="00EA5BE0">
      <w:pPr>
        <w:suppressAutoHyphens/>
        <w:spacing w:before="240" w:after="120" w:line="276" w:lineRule="auto"/>
        <w:rPr>
          <w:rFonts w:eastAsia="Calibri" w:cstheme="minorHAnsi"/>
          <w:szCs w:val="20"/>
        </w:rPr>
      </w:pPr>
      <w:r w:rsidRPr="006B5917">
        <w:rPr>
          <w:rFonts w:eastAsia="Calibri" w:cstheme="minorHAnsi"/>
          <w:szCs w:val="20"/>
        </w:rPr>
        <w:t xml:space="preserve">Key guideline recommendations for intensive care patients undergoing surgery are included in </w:t>
      </w:r>
      <w:r w:rsidRPr="006B5917">
        <w:rPr>
          <w:rFonts w:eastAsia="Calibri" w:cstheme="minorHAnsi"/>
          <w:b/>
          <w:bCs/>
          <w:szCs w:val="20"/>
        </w:rPr>
        <w:t xml:space="preserve">Table </w:t>
      </w:r>
      <w:r w:rsidR="002A0EB6">
        <w:rPr>
          <w:rFonts w:eastAsia="Calibri" w:cstheme="minorHAnsi"/>
          <w:b/>
          <w:bCs/>
          <w:szCs w:val="20"/>
        </w:rPr>
        <w:t>2</w:t>
      </w:r>
      <w:r w:rsidR="00583356">
        <w:rPr>
          <w:rFonts w:eastAsia="Calibri" w:cstheme="minorHAnsi"/>
          <w:b/>
          <w:bCs/>
          <w:szCs w:val="20"/>
        </w:rPr>
        <w:t>3</w:t>
      </w:r>
      <w:r w:rsidRPr="006B5917">
        <w:rPr>
          <w:rFonts w:eastAsia="Calibri" w:cstheme="minorHAnsi"/>
          <w:b/>
          <w:bCs/>
          <w:szCs w:val="20"/>
        </w:rPr>
        <w:t xml:space="preserve"> </w:t>
      </w:r>
      <w:r w:rsidRPr="006B5917">
        <w:rPr>
          <w:rFonts w:eastAsia="Calibri" w:cstheme="minorHAnsi"/>
          <w:szCs w:val="20"/>
        </w:rPr>
        <w:t>below.</w:t>
      </w:r>
    </w:p>
    <w:p w14:paraId="2266062F" w14:textId="411F4A95" w:rsidR="00EA5BE0" w:rsidRPr="00EA5BE0" w:rsidRDefault="00EA5BE0" w:rsidP="006B5917">
      <w:pPr>
        <w:pStyle w:val="TableTitle"/>
      </w:pPr>
      <w:r w:rsidRPr="007A2A13">
        <w:rPr>
          <w:b/>
          <w:bCs/>
        </w:rPr>
        <w:t xml:space="preserve">Table </w:t>
      </w:r>
      <w:r w:rsidR="00B018C2" w:rsidRPr="007A2A13">
        <w:rPr>
          <w:b/>
          <w:bCs/>
        </w:rPr>
        <w:t>2</w:t>
      </w:r>
      <w:r w:rsidR="00583356" w:rsidRPr="007A2A13">
        <w:rPr>
          <w:b/>
          <w:bCs/>
        </w:rPr>
        <w:t>3</w:t>
      </w:r>
      <w:r w:rsidRPr="007A2A13">
        <w:rPr>
          <w:b/>
          <w:bCs/>
        </w:rPr>
        <w:t xml:space="preserve">: </w:t>
      </w:r>
      <w:r w:rsidRPr="00EA5BE0">
        <w:t>ESA (2018)</w:t>
      </w:r>
      <w:r w:rsidR="00D37E2C">
        <w:t xml:space="preserve"> </w:t>
      </w:r>
      <w:r w:rsidR="00B018C2">
        <w:t>Guidelines focused on intensive care</w:t>
      </w:r>
    </w:p>
    <w:tbl>
      <w:tblPr>
        <w:tblStyle w:val="AlternateTable"/>
        <w:tblW w:w="5000" w:type="pct"/>
        <w:tblLook w:val="04A0" w:firstRow="1" w:lastRow="0" w:firstColumn="1" w:lastColumn="0" w:noHBand="0" w:noVBand="1"/>
      </w:tblPr>
      <w:tblGrid>
        <w:gridCol w:w="10080"/>
        <w:gridCol w:w="1710"/>
        <w:gridCol w:w="1170"/>
      </w:tblGrid>
      <w:tr w:rsidR="00EA5BE0" w:rsidRPr="00EA5BE0" w14:paraId="71D1BB20" w14:textId="77777777" w:rsidTr="00F139F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080" w:type="dxa"/>
            <w:vAlign w:val="bottom"/>
            <w:hideMark/>
          </w:tcPr>
          <w:p w14:paraId="3F080188" w14:textId="77777777" w:rsidR="00EA5BE0" w:rsidRPr="00EA5BE0" w:rsidRDefault="00EA5BE0" w:rsidP="00D038F1">
            <w:pPr>
              <w:pStyle w:val="TableHeaderLeft"/>
              <w:rPr>
                <w:b w:val="0"/>
              </w:rPr>
            </w:pPr>
            <w:r w:rsidRPr="00EA5BE0">
              <w:t>Verbatim Guideline</w:t>
            </w:r>
          </w:p>
        </w:tc>
        <w:tc>
          <w:tcPr>
            <w:tcW w:w="1710" w:type="dxa"/>
            <w:vAlign w:val="bottom"/>
            <w:hideMark/>
          </w:tcPr>
          <w:p w14:paraId="312F8AAF" w14:textId="77777777" w:rsidR="00EA5BE0" w:rsidRPr="00EA5BE0" w:rsidRDefault="00EA5BE0" w:rsidP="00D038F1">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170" w:type="dxa"/>
            <w:vAlign w:val="bottom"/>
            <w:hideMark/>
          </w:tcPr>
          <w:p w14:paraId="07E831F8" w14:textId="77777777" w:rsidR="00EA5BE0" w:rsidRPr="00EA5BE0" w:rsidRDefault="00EA5BE0" w:rsidP="00D038F1">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225D31" w:rsidRPr="00EA5BE0" w14:paraId="70B866F9" w14:textId="77777777" w:rsidTr="00F139F9">
        <w:tc>
          <w:tcPr>
            <w:cnfStyle w:val="001000000000" w:firstRow="0" w:lastRow="0" w:firstColumn="1" w:lastColumn="0" w:oddVBand="0" w:evenVBand="0" w:oddHBand="0" w:evenHBand="0" w:firstRowFirstColumn="0" w:firstRowLastColumn="0" w:lastRowFirstColumn="0" w:lastRowLastColumn="0"/>
            <w:tcW w:w="10080" w:type="dxa"/>
            <w:shd w:val="clear" w:color="auto" w:fill="0B2949" w:themeFill="accent1"/>
          </w:tcPr>
          <w:p w14:paraId="583CD938" w14:textId="379C41F5" w:rsidR="00225D31" w:rsidRPr="00EA5BE0" w:rsidRDefault="00225D31" w:rsidP="00D038F1">
            <w:pPr>
              <w:pStyle w:val="TableRowHead"/>
              <w:rPr>
                <w:color w:val="000000"/>
              </w:rPr>
            </w:pPr>
            <w:r w:rsidRPr="006B5917">
              <w:t>Intensive Care</w:t>
            </w:r>
          </w:p>
        </w:tc>
        <w:tc>
          <w:tcPr>
            <w:tcW w:w="1710" w:type="dxa"/>
            <w:shd w:val="clear" w:color="auto" w:fill="0B2949" w:themeFill="accent1"/>
          </w:tcPr>
          <w:p w14:paraId="316629AA" w14:textId="77777777" w:rsidR="00225D31" w:rsidRPr="00EA5BE0" w:rsidRDefault="00225D31" w:rsidP="00D038F1">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tcPr>
          <w:p w14:paraId="37591CF3" w14:textId="77777777" w:rsidR="00225D31" w:rsidRPr="00EA5BE0" w:rsidRDefault="00225D31" w:rsidP="00D038F1">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225D31" w:rsidRPr="00EA5BE0" w14:paraId="61480A01"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23C1BD23" w14:textId="77777777" w:rsidR="00225D31" w:rsidRPr="00EA5BE0" w:rsidRDefault="00225D31" w:rsidP="00D038F1">
            <w:pPr>
              <w:pStyle w:val="TableTextLeft"/>
            </w:pPr>
            <w:r w:rsidRPr="00EA5BE0">
              <w:t>In critically ill patients, we recommend against the routine use of compression DUS screening of DVT.</w:t>
            </w:r>
          </w:p>
        </w:tc>
        <w:tc>
          <w:tcPr>
            <w:tcW w:w="1710" w:type="dxa"/>
            <w:hideMark/>
          </w:tcPr>
          <w:p w14:paraId="5A81A455"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3A8A28B2"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225D31" w:rsidRPr="00EA5BE0" w14:paraId="24EB92E0"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23B4C44C" w14:textId="77777777" w:rsidR="00225D31" w:rsidRPr="00EA5BE0" w:rsidRDefault="00225D31" w:rsidP="00D038F1">
            <w:pPr>
              <w:pStyle w:val="TableTextLeft"/>
            </w:pPr>
            <w:r w:rsidRPr="00EA5BE0">
              <w:t>We recommend an institution-wide protocol for the prevention of VTE that includes the use of mechanical thromboprophylaxis, that is IPC.</w:t>
            </w:r>
          </w:p>
        </w:tc>
        <w:tc>
          <w:tcPr>
            <w:tcW w:w="1710" w:type="dxa"/>
            <w:hideMark/>
          </w:tcPr>
          <w:p w14:paraId="68DB5BB8"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425A7FF4"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225D31" w:rsidRPr="00EA5BE0" w14:paraId="5CAEBF8D"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7C6E700A" w14:textId="77777777" w:rsidR="00225D31" w:rsidRPr="00EA5BE0" w:rsidRDefault="00225D31" w:rsidP="00D038F1">
            <w:pPr>
              <w:pStyle w:val="TableTextLeft"/>
            </w:pPr>
            <w:r w:rsidRPr="00EA5BE0">
              <w:t xml:space="preserve">For critically ill patients, we recommend using thromboprophylaxis with LMWH or LDUH and </w:t>
            </w:r>
          </w:p>
        </w:tc>
        <w:tc>
          <w:tcPr>
            <w:tcW w:w="1710" w:type="dxa"/>
            <w:hideMark/>
          </w:tcPr>
          <w:p w14:paraId="33CD3994"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6326A5AD"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225D31" w:rsidRPr="00EA5BE0" w14:paraId="1CD86B22"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36F77F08" w14:textId="77777777" w:rsidR="00225D31" w:rsidRPr="00EA5BE0" w:rsidRDefault="00225D31" w:rsidP="00D038F1">
            <w:pPr>
              <w:pStyle w:val="TableTextLeft"/>
            </w:pPr>
            <w:r w:rsidRPr="00EA5BE0">
              <w:t>we recommend LMWH over LDUH. (principal)</w:t>
            </w:r>
          </w:p>
        </w:tc>
        <w:tc>
          <w:tcPr>
            <w:tcW w:w="1710" w:type="dxa"/>
            <w:hideMark/>
          </w:tcPr>
          <w:p w14:paraId="4FD12495"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25753754"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225D31" w:rsidRPr="00EA5BE0" w14:paraId="4D330AE2"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3592B41F" w14:textId="77777777" w:rsidR="00225D31" w:rsidRPr="00EA5BE0" w:rsidRDefault="00225D31" w:rsidP="00D038F1">
            <w:pPr>
              <w:pStyle w:val="TableTextLeft"/>
            </w:pPr>
            <w:r w:rsidRPr="00EA5BE0">
              <w:t xml:space="preserve">For VTE prophylaxis in critically ill patients with severe renal insufficiency, we suggest the use of LDUH, </w:t>
            </w:r>
          </w:p>
        </w:tc>
        <w:tc>
          <w:tcPr>
            <w:tcW w:w="1710" w:type="dxa"/>
            <w:hideMark/>
          </w:tcPr>
          <w:p w14:paraId="5814C8A6"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30627BC5"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225D31" w:rsidRPr="00EA5BE0" w14:paraId="3B475F43"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3A356388" w14:textId="77777777" w:rsidR="00225D31" w:rsidRPr="00EA5BE0" w:rsidRDefault="00225D31" w:rsidP="00F139F9">
            <w:pPr>
              <w:pStyle w:val="TableListBullet"/>
            </w:pPr>
            <w:proofErr w:type="spellStart"/>
            <w:r w:rsidRPr="00EA5BE0">
              <w:t>dalteparin</w:t>
            </w:r>
            <w:proofErr w:type="spellEnd"/>
            <w:r w:rsidRPr="00EA5BE0">
              <w:t xml:space="preserve"> or </w:t>
            </w:r>
          </w:p>
        </w:tc>
        <w:tc>
          <w:tcPr>
            <w:tcW w:w="1710" w:type="dxa"/>
            <w:hideMark/>
          </w:tcPr>
          <w:p w14:paraId="2D3833AC"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60230A1A"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225D31" w:rsidRPr="00EA5BE0" w14:paraId="30686369"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3C1E62AF" w14:textId="77777777" w:rsidR="00225D31" w:rsidRPr="00EA5BE0" w:rsidRDefault="00225D31" w:rsidP="00F139F9">
            <w:pPr>
              <w:pStyle w:val="TableListBullet"/>
            </w:pPr>
            <w:r w:rsidRPr="00EA5BE0">
              <w:lastRenderedPageBreak/>
              <w:t xml:space="preserve">reduced doses of enoxaparin. </w:t>
            </w:r>
          </w:p>
        </w:tc>
        <w:tc>
          <w:tcPr>
            <w:tcW w:w="1710" w:type="dxa"/>
            <w:hideMark/>
          </w:tcPr>
          <w:p w14:paraId="74BCA924"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04B1B48E"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225D31" w:rsidRPr="00EA5BE0" w14:paraId="0E3A262A"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2FBA72FC" w14:textId="77777777" w:rsidR="00225D31" w:rsidRPr="00EA5BE0" w:rsidRDefault="00225D31" w:rsidP="00D038F1">
            <w:pPr>
              <w:pStyle w:val="TableTextLeft"/>
            </w:pPr>
            <w:r w:rsidRPr="00EA5BE0">
              <w:t>Monitoring of anti-Xa activity may be considered when LMWH is used in these patients.</w:t>
            </w:r>
          </w:p>
        </w:tc>
        <w:tc>
          <w:tcPr>
            <w:tcW w:w="1710" w:type="dxa"/>
            <w:hideMark/>
          </w:tcPr>
          <w:p w14:paraId="1ED9FE19"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2BF5C2AD"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225D31" w:rsidRPr="00EA5BE0" w14:paraId="71801DC2"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67D6DF63" w14:textId="77777777" w:rsidR="00225D31" w:rsidRPr="00EA5BE0" w:rsidRDefault="00225D31" w:rsidP="00D038F1">
            <w:pPr>
              <w:pStyle w:val="TableTextLeft"/>
            </w:pPr>
            <w:r w:rsidRPr="00EA5BE0">
              <w:t>The use of pharmacological prophylaxis in patients with severe liver dysfunction should be carefully balanced against the risk of bleeding. If a treatment is administered, the use of LDUH or LMWH is suggested.</w:t>
            </w:r>
          </w:p>
        </w:tc>
        <w:tc>
          <w:tcPr>
            <w:tcW w:w="1710" w:type="dxa"/>
            <w:hideMark/>
          </w:tcPr>
          <w:p w14:paraId="3944D9C4"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21631743"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225D31" w:rsidRPr="00EA5BE0" w14:paraId="23FC2EAF"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5B029310" w14:textId="77777777" w:rsidR="00225D31" w:rsidRPr="00EA5BE0" w:rsidRDefault="00225D31" w:rsidP="00D038F1">
            <w:pPr>
              <w:pStyle w:val="TableTextLeft"/>
            </w:pPr>
            <w:r w:rsidRPr="00EA5BE0">
              <w:t>We suggest no prophylaxis or the use of IPC in patients with a platelet count less than 50000</w:t>
            </w:r>
            <w:proofErr w:type="gramStart"/>
            <w:r w:rsidRPr="00EA5BE0">
              <w:t>mm</w:t>
            </w:r>
            <w:proofErr w:type="gramEnd"/>
            <w:r w:rsidRPr="00EA5BE0">
              <w:rPr>
                <w:vertAlign w:val="superscript"/>
              </w:rPr>
              <w:t>-3</w:t>
            </w:r>
            <w:r w:rsidRPr="00EA5BE0">
              <w:t xml:space="preserve"> </w:t>
            </w:r>
            <w:r w:rsidRPr="00EA5BE0">
              <w:rPr>
                <w:i/>
                <w:iCs/>
              </w:rPr>
              <w:t>and</w:t>
            </w:r>
            <w:r w:rsidRPr="00EA5BE0">
              <w:t xml:space="preserve"> a high risk of bleeding.</w:t>
            </w:r>
          </w:p>
        </w:tc>
        <w:tc>
          <w:tcPr>
            <w:tcW w:w="1710" w:type="dxa"/>
            <w:hideMark/>
          </w:tcPr>
          <w:p w14:paraId="0CD0A2C2"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3B00AD11"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225D31" w:rsidRPr="00EA5BE0" w14:paraId="1C26F687"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1C97AA52" w14:textId="77777777" w:rsidR="00225D31" w:rsidRPr="00EA5BE0" w:rsidRDefault="00225D31" w:rsidP="00D038F1">
            <w:pPr>
              <w:pStyle w:val="TableTextLeft"/>
            </w:pPr>
            <w:r w:rsidRPr="00EA5BE0">
              <w:t>For critically ill patients, we recommend against the routine use of IVC filters (IVCFs) for the primary prevention of VTE.</w:t>
            </w:r>
          </w:p>
        </w:tc>
        <w:tc>
          <w:tcPr>
            <w:tcW w:w="1710" w:type="dxa"/>
            <w:hideMark/>
          </w:tcPr>
          <w:p w14:paraId="016DCEDB"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6CA54A79"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225D31" w:rsidRPr="00EA5BE0" w14:paraId="0956A572"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1DCC4DB8" w14:textId="77777777" w:rsidR="00225D31" w:rsidRPr="00EA5BE0" w:rsidRDefault="00225D31" w:rsidP="00D038F1">
            <w:pPr>
              <w:pStyle w:val="TableTextLeft"/>
            </w:pPr>
            <w:r w:rsidRPr="00EA5BE0">
              <w:t>We suggest the use of IVCF in patients who can neither receive pharmacological prophylaxis nor IPC.</w:t>
            </w:r>
          </w:p>
        </w:tc>
        <w:tc>
          <w:tcPr>
            <w:tcW w:w="1710" w:type="dxa"/>
            <w:hideMark/>
          </w:tcPr>
          <w:p w14:paraId="41CE59EB"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245C708D"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225D31" w:rsidRPr="00EA5BE0" w14:paraId="17CA4E17"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5C15C02F" w14:textId="77777777" w:rsidR="00225D31" w:rsidRPr="00EA5BE0" w:rsidRDefault="00225D31" w:rsidP="00D038F1">
            <w:pPr>
              <w:pStyle w:val="TableTextLeft"/>
            </w:pPr>
            <w:r w:rsidRPr="00EA5BE0">
              <w:t xml:space="preserve">In critically ill patients with a suspected or confirmed diagnosis of heparin-induced thrombocytopenia (HIT), all forms of heparin must be discontinued. </w:t>
            </w:r>
          </w:p>
        </w:tc>
        <w:tc>
          <w:tcPr>
            <w:tcW w:w="1710" w:type="dxa"/>
            <w:noWrap/>
            <w:hideMark/>
          </w:tcPr>
          <w:p w14:paraId="497AA6A3"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015793B6"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225D31" w:rsidRPr="00EA5BE0" w14:paraId="527194EE"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472278D6" w14:textId="77777777" w:rsidR="00225D31" w:rsidRPr="00EA5BE0" w:rsidRDefault="00225D31" w:rsidP="00D038F1">
            <w:pPr>
              <w:pStyle w:val="TableTextLeft"/>
            </w:pPr>
            <w:r w:rsidRPr="00EA5BE0">
              <w:t xml:space="preserve">In these patients, immediate anticoagulation with a </w:t>
            </w:r>
            <w:proofErr w:type="spellStart"/>
            <w:r w:rsidRPr="00EA5BE0">
              <w:t>nonheparin</w:t>
            </w:r>
            <w:proofErr w:type="spellEnd"/>
            <w:r w:rsidRPr="00EA5BE0">
              <w:t xml:space="preserve"> anticoagulant rather than</w:t>
            </w:r>
            <w:r w:rsidRPr="00EA5BE0">
              <w:br/>
              <w:t xml:space="preserve">discontinuation of heparin alone is recommended, unless there is a strong contraindication to anticoagulation. </w:t>
            </w:r>
          </w:p>
        </w:tc>
        <w:tc>
          <w:tcPr>
            <w:tcW w:w="1710" w:type="dxa"/>
            <w:hideMark/>
          </w:tcPr>
          <w:p w14:paraId="10827CBA"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78F7B898"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225D31" w:rsidRPr="00EA5BE0" w14:paraId="4D12726A"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6A6B5616" w14:textId="77777777" w:rsidR="00225D31" w:rsidRPr="00EA5BE0" w:rsidRDefault="00225D31" w:rsidP="00D038F1">
            <w:pPr>
              <w:pStyle w:val="TableTextLeft"/>
            </w:pPr>
            <w:r w:rsidRPr="00EA5BE0">
              <w:t xml:space="preserve">The selection of </w:t>
            </w:r>
            <w:proofErr w:type="spellStart"/>
            <w:r w:rsidRPr="00EA5BE0">
              <w:t>nonheparin</w:t>
            </w:r>
            <w:proofErr w:type="spellEnd"/>
            <w:r w:rsidRPr="00EA5BE0">
              <w:t xml:space="preserve"> anticoagulants should be based on patient characteristics: </w:t>
            </w:r>
            <w:proofErr w:type="spellStart"/>
            <w:r w:rsidRPr="00EA5BE0">
              <w:t>argatroban</w:t>
            </w:r>
            <w:proofErr w:type="spellEnd"/>
            <w:r w:rsidRPr="00EA5BE0">
              <w:t xml:space="preserve"> is the first choice in patients with renal insufficiency, and bivalirudin in patients undergoing or after cardiac surgery.</w:t>
            </w:r>
          </w:p>
        </w:tc>
        <w:tc>
          <w:tcPr>
            <w:tcW w:w="1710" w:type="dxa"/>
            <w:hideMark/>
          </w:tcPr>
          <w:p w14:paraId="32D26BDA"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4D804636"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225D31" w:rsidRPr="00EA5BE0" w14:paraId="1ED12893" w14:textId="77777777" w:rsidTr="00F139F9">
        <w:tc>
          <w:tcPr>
            <w:cnfStyle w:val="001000000000" w:firstRow="0" w:lastRow="0" w:firstColumn="1" w:lastColumn="0" w:oddVBand="0" w:evenVBand="0" w:oddHBand="0" w:evenHBand="0" w:firstRowFirstColumn="0" w:firstRowLastColumn="0" w:lastRowFirstColumn="0" w:lastRowLastColumn="0"/>
            <w:tcW w:w="10080" w:type="dxa"/>
            <w:hideMark/>
          </w:tcPr>
          <w:p w14:paraId="57BC1C75" w14:textId="77777777" w:rsidR="00225D31" w:rsidRPr="00EA5BE0" w:rsidRDefault="00225D31" w:rsidP="00D038F1">
            <w:pPr>
              <w:pStyle w:val="TableTextLeft"/>
            </w:pPr>
            <w:r w:rsidRPr="00EA5BE0">
              <w:t>The use of fondaparinux can also be considered in these patients.</w:t>
            </w:r>
          </w:p>
        </w:tc>
        <w:tc>
          <w:tcPr>
            <w:tcW w:w="1710" w:type="dxa"/>
            <w:hideMark/>
          </w:tcPr>
          <w:p w14:paraId="669C8713"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1DF6C430" w14:textId="77777777" w:rsidR="00225D31" w:rsidRPr="00EA5BE0" w:rsidRDefault="00225D3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bl>
    <w:p w14:paraId="48B8ABA7" w14:textId="71CD2167" w:rsidR="00583AB8" w:rsidRPr="00D038F1" w:rsidRDefault="00583AB8" w:rsidP="00E2211F">
      <w:pPr>
        <w:pStyle w:val="H4"/>
      </w:pPr>
      <w:r>
        <w:rPr>
          <w:rFonts w:eastAsia="Times New Roman"/>
        </w:rPr>
        <w:t>4.3.1</w:t>
      </w:r>
      <w:r w:rsidR="00F139F9">
        <w:rPr>
          <w:rFonts w:eastAsia="Times New Roman"/>
        </w:rPr>
        <w:t>.</w:t>
      </w:r>
      <w:r w:rsidR="00F139F9">
        <w:rPr>
          <w:rFonts w:eastAsia="Times New Roman"/>
        </w:rPr>
        <w:tab/>
      </w:r>
      <w:r w:rsidR="00F60947">
        <w:rPr>
          <w:rFonts w:eastAsia="Times New Roman"/>
        </w:rPr>
        <w:t>ESA</w:t>
      </w:r>
      <w:r w:rsidRPr="00583AB8">
        <w:rPr>
          <w:rFonts w:eastAsia="Times New Roman"/>
        </w:rPr>
        <w:t>:</w:t>
      </w:r>
      <w:r>
        <w:rPr>
          <w:rFonts w:eastAsia="Times New Roman"/>
        </w:rPr>
        <w:t xml:space="preserve"> </w:t>
      </w:r>
      <w:r w:rsidR="005515F7">
        <w:rPr>
          <w:rFonts w:eastAsia="Times New Roman"/>
        </w:rPr>
        <w:t>First update of intensive care</w:t>
      </w:r>
    </w:p>
    <w:p w14:paraId="2DA38C3F" w14:textId="344B6539" w:rsidR="00AF73BF" w:rsidRDefault="000B2A75" w:rsidP="00D038F1">
      <w:pPr>
        <w:pStyle w:val="Paragraph"/>
      </w:pPr>
      <w:hyperlink r:id="rId26" w:history="1">
        <w:r w:rsidRPr="00195957">
          <w:rPr>
            <w:rStyle w:val="Hyperlink"/>
          </w:rPr>
          <w:t>Samama, C. M., Afshari, A., Lars Grønlykke, Madsen, M. H., Wiberg, S., &amp; Romero, C. S. (2024). European guidelines on peri-operative venous thromboembolism prophylaxis: first update. European Journal of Anaesthesiology, 41(8), 561–569. https://doi.org/10.1097/eja.0000000000002025</w:t>
        </w:r>
      </w:hyperlink>
    </w:p>
    <w:p w14:paraId="3213C455" w14:textId="16614BBF" w:rsidR="002A0EB6" w:rsidRPr="002A0EB6" w:rsidRDefault="002A0EB6" w:rsidP="00D038F1">
      <w:pPr>
        <w:pStyle w:val="Paragraph"/>
      </w:pPr>
      <w:r>
        <w:t>Updated</w:t>
      </w:r>
      <w:r w:rsidRPr="006B5917">
        <w:t xml:space="preserve"> guideline recommendations for </w:t>
      </w:r>
      <w:r>
        <w:t>intensive care patients</w:t>
      </w:r>
      <w:r w:rsidRPr="006B5917">
        <w:t xml:space="preserve"> are included in </w:t>
      </w:r>
      <w:r w:rsidRPr="006B5917">
        <w:rPr>
          <w:b/>
          <w:bCs/>
        </w:rPr>
        <w:t xml:space="preserve">Table </w:t>
      </w:r>
      <w:r>
        <w:rPr>
          <w:b/>
          <w:bCs/>
        </w:rPr>
        <w:t>2</w:t>
      </w:r>
      <w:r w:rsidR="00583356">
        <w:rPr>
          <w:b/>
          <w:bCs/>
        </w:rPr>
        <w:t>4</w:t>
      </w:r>
      <w:r w:rsidRPr="006B5917">
        <w:rPr>
          <w:b/>
          <w:bCs/>
        </w:rPr>
        <w:t xml:space="preserve"> </w:t>
      </w:r>
      <w:r w:rsidRPr="006B5917">
        <w:t>below.</w:t>
      </w:r>
    </w:p>
    <w:p w14:paraId="4AF86E98" w14:textId="32FB2EA6" w:rsidR="005515F7" w:rsidRPr="00EA5BE0" w:rsidRDefault="005515F7" w:rsidP="005515F7">
      <w:pPr>
        <w:pStyle w:val="TableTitle"/>
      </w:pPr>
      <w:r w:rsidRPr="00D038F1">
        <w:rPr>
          <w:b/>
          <w:bCs/>
        </w:rPr>
        <w:t>Table 2</w:t>
      </w:r>
      <w:r w:rsidR="00583356" w:rsidRPr="00D038F1">
        <w:rPr>
          <w:b/>
          <w:bCs/>
        </w:rPr>
        <w:t>4</w:t>
      </w:r>
      <w:r w:rsidR="00225D31" w:rsidRPr="00D038F1">
        <w:rPr>
          <w:b/>
          <w:bCs/>
        </w:rPr>
        <w:t xml:space="preserve">. </w:t>
      </w:r>
      <w:r w:rsidRPr="00EA5BE0">
        <w:t>ESA (</w:t>
      </w:r>
      <w:r w:rsidR="00B018C2">
        <w:t>2024</w:t>
      </w:r>
      <w:r w:rsidRPr="00EA5BE0">
        <w:t>)</w:t>
      </w:r>
      <w:r w:rsidR="00D37E2C">
        <w:t xml:space="preserve"> </w:t>
      </w:r>
      <w:r w:rsidR="00B018C2">
        <w:t>First update of intensive care</w:t>
      </w:r>
      <w:r w:rsidR="003F38A1">
        <w:t xml:space="preserve"> guideline </w:t>
      </w:r>
    </w:p>
    <w:tbl>
      <w:tblPr>
        <w:tblStyle w:val="AlternateTable"/>
        <w:tblW w:w="5000" w:type="pct"/>
        <w:tblLook w:val="04A0" w:firstRow="1" w:lastRow="0" w:firstColumn="1" w:lastColumn="0" w:noHBand="0" w:noVBand="1"/>
      </w:tblPr>
      <w:tblGrid>
        <w:gridCol w:w="10080"/>
        <w:gridCol w:w="1710"/>
        <w:gridCol w:w="1170"/>
      </w:tblGrid>
      <w:tr w:rsidR="005515F7" w:rsidRPr="00EA5BE0" w14:paraId="392351CE" w14:textId="77777777" w:rsidTr="00F139F9">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10080" w:type="dxa"/>
            <w:vAlign w:val="bottom"/>
            <w:hideMark/>
          </w:tcPr>
          <w:p w14:paraId="37B78F44" w14:textId="77777777" w:rsidR="005515F7" w:rsidRPr="00EA5BE0" w:rsidRDefault="005515F7" w:rsidP="002F7DDD">
            <w:pPr>
              <w:pStyle w:val="TableHeaderLeft"/>
              <w:rPr>
                <w:b w:val="0"/>
              </w:rPr>
            </w:pPr>
            <w:r w:rsidRPr="00EA5BE0">
              <w:t>Verbatim Guideline</w:t>
            </w:r>
          </w:p>
        </w:tc>
        <w:tc>
          <w:tcPr>
            <w:tcW w:w="1710" w:type="dxa"/>
            <w:vAlign w:val="bottom"/>
            <w:hideMark/>
          </w:tcPr>
          <w:p w14:paraId="17FFF993" w14:textId="77777777" w:rsidR="005515F7" w:rsidRPr="00EA5BE0" w:rsidRDefault="005515F7" w:rsidP="002F7DDD">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170" w:type="dxa"/>
            <w:vAlign w:val="bottom"/>
            <w:hideMark/>
          </w:tcPr>
          <w:p w14:paraId="52163605" w14:textId="77777777" w:rsidR="005515F7" w:rsidRPr="00EA5BE0" w:rsidRDefault="005515F7" w:rsidP="002F7DDD">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D038F1" w:rsidRPr="00EA5BE0" w14:paraId="7E3A9390"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shd w:val="clear" w:color="auto" w:fill="0B2949" w:themeFill="accent1"/>
          </w:tcPr>
          <w:p w14:paraId="452661FC" w14:textId="7D4CE0E1" w:rsidR="00D038F1" w:rsidRPr="00233236" w:rsidRDefault="00D038F1" w:rsidP="002F7DDD">
            <w:pPr>
              <w:pStyle w:val="TableRowHead"/>
              <w:rPr>
                <w:color w:val="000000"/>
              </w:rPr>
            </w:pPr>
            <w:r>
              <w:t>Intensive care</w:t>
            </w:r>
          </w:p>
        </w:tc>
        <w:tc>
          <w:tcPr>
            <w:tcW w:w="1710" w:type="dxa"/>
            <w:shd w:val="clear" w:color="auto" w:fill="0B2949" w:themeFill="accent1"/>
          </w:tcPr>
          <w:p w14:paraId="6C89D0DE" w14:textId="77777777" w:rsidR="00D038F1" w:rsidRDefault="00D038F1" w:rsidP="002F7DDD">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tcPr>
          <w:p w14:paraId="7E1ECA0F" w14:textId="77777777" w:rsidR="00D038F1" w:rsidRDefault="00D038F1" w:rsidP="002F7DDD">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5515F7" w:rsidRPr="00EA5BE0" w14:paraId="730DED8E"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35D9E8A6" w14:textId="14894418" w:rsidR="005515F7" w:rsidRPr="00EA5BE0" w:rsidRDefault="00233236" w:rsidP="002F7DDD">
            <w:pPr>
              <w:pStyle w:val="TableTextLeft"/>
            </w:pPr>
            <w:r w:rsidRPr="00233236">
              <w:t>We recommend the use of mechanical prophylaxis over no prophylaxis in surgical critically ill patients with contraindications to pharmacological thromboprophylaxis</w:t>
            </w:r>
            <w:r>
              <w:t>.</w:t>
            </w:r>
          </w:p>
        </w:tc>
        <w:tc>
          <w:tcPr>
            <w:tcW w:w="1710" w:type="dxa"/>
            <w:hideMark/>
          </w:tcPr>
          <w:p w14:paraId="03BEF2A3" w14:textId="7105FC12" w:rsidR="005515F7" w:rsidRPr="00EA5BE0" w:rsidRDefault="00233236" w:rsidP="00F139F9">
            <w:pPr>
              <w:pStyle w:val="TableTextLeft"/>
              <w:cnfStyle w:val="000000000000" w:firstRow="0" w:lastRow="0" w:firstColumn="0" w:lastColumn="0" w:oddVBand="0" w:evenVBand="0" w:oddHBand="0" w:evenHBand="0" w:firstRowFirstColumn="0" w:firstRowLastColumn="0" w:lastRowFirstColumn="0" w:lastRowLastColumn="0"/>
            </w:pPr>
            <w:r>
              <w:t>1</w:t>
            </w:r>
          </w:p>
        </w:tc>
        <w:tc>
          <w:tcPr>
            <w:tcW w:w="1170" w:type="dxa"/>
            <w:hideMark/>
          </w:tcPr>
          <w:p w14:paraId="4F6F11E2" w14:textId="0DA436F4" w:rsidR="005515F7" w:rsidRPr="00EA5BE0" w:rsidRDefault="00233236" w:rsidP="00F139F9">
            <w:pPr>
              <w:pStyle w:val="TableTextLeft"/>
              <w:cnfStyle w:val="000000000000" w:firstRow="0" w:lastRow="0" w:firstColumn="0" w:lastColumn="0" w:oddVBand="0" w:evenVBand="0" w:oddHBand="0" w:evenHBand="0" w:firstRowFirstColumn="0" w:firstRowLastColumn="0" w:lastRowFirstColumn="0" w:lastRowLastColumn="0"/>
            </w:pPr>
            <w:r>
              <w:t>C</w:t>
            </w:r>
          </w:p>
        </w:tc>
      </w:tr>
      <w:tr w:rsidR="005515F7" w:rsidRPr="00EA5BE0" w14:paraId="3CF337B9"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785F5459" w14:textId="3C841E31" w:rsidR="005515F7" w:rsidRPr="00EA5BE0" w:rsidRDefault="00233236" w:rsidP="002F7DDD">
            <w:pPr>
              <w:pStyle w:val="TableTextLeft"/>
            </w:pPr>
            <w:r w:rsidRPr="00233236">
              <w:t>We suggest the use of mechanical prophylaxis over no prophylaxis in medical critically ill patients with contraindications to pharmacological thromboprophylaxis</w:t>
            </w:r>
            <w:r>
              <w:t>.</w:t>
            </w:r>
          </w:p>
        </w:tc>
        <w:tc>
          <w:tcPr>
            <w:tcW w:w="1710" w:type="dxa"/>
            <w:hideMark/>
          </w:tcPr>
          <w:p w14:paraId="7C33CC98" w14:textId="180E126B" w:rsidR="005515F7" w:rsidRPr="00EA5BE0" w:rsidRDefault="00233236" w:rsidP="00F139F9">
            <w:pPr>
              <w:pStyle w:val="TableTextLeft"/>
              <w:cnfStyle w:val="000000000000" w:firstRow="0" w:lastRow="0" w:firstColumn="0" w:lastColumn="0" w:oddVBand="0" w:evenVBand="0" w:oddHBand="0" w:evenHBand="0" w:firstRowFirstColumn="0" w:firstRowLastColumn="0" w:lastRowFirstColumn="0" w:lastRowLastColumn="0"/>
            </w:pPr>
            <w:r>
              <w:t>2</w:t>
            </w:r>
          </w:p>
        </w:tc>
        <w:tc>
          <w:tcPr>
            <w:tcW w:w="1170" w:type="dxa"/>
            <w:hideMark/>
          </w:tcPr>
          <w:p w14:paraId="6A3CE392" w14:textId="406DD527" w:rsidR="005515F7" w:rsidRPr="00EA5BE0" w:rsidRDefault="00E40228" w:rsidP="00F139F9">
            <w:pPr>
              <w:pStyle w:val="TableTextLeft"/>
              <w:cnfStyle w:val="000000000000" w:firstRow="0" w:lastRow="0" w:firstColumn="0" w:lastColumn="0" w:oddVBand="0" w:evenVBand="0" w:oddHBand="0" w:evenHBand="0" w:firstRowFirstColumn="0" w:firstRowLastColumn="0" w:lastRowFirstColumn="0" w:lastRowLastColumn="0"/>
            </w:pPr>
            <w:r>
              <w:t>B</w:t>
            </w:r>
          </w:p>
        </w:tc>
      </w:tr>
      <w:tr w:rsidR="005515F7" w:rsidRPr="00EA5BE0" w14:paraId="05932D53"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59AD8C52" w14:textId="5345F6A2" w:rsidR="005515F7" w:rsidRPr="00EA5BE0" w:rsidRDefault="00E40228" w:rsidP="002F7DDD">
            <w:pPr>
              <w:pStyle w:val="TableTextLeft"/>
            </w:pPr>
            <w:r w:rsidRPr="00E40228">
              <w:lastRenderedPageBreak/>
              <w:t>We recommend the use of pharmacological prophylaxis over mechanical prophylaxis in ICU patients without contraindications to pharmacological thromboprophylaxis</w:t>
            </w:r>
            <w:r>
              <w:t>.</w:t>
            </w:r>
          </w:p>
        </w:tc>
        <w:tc>
          <w:tcPr>
            <w:tcW w:w="1710" w:type="dxa"/>
            <w:noWrap/>
            <w:hideMark/>
          </w:tcPr>
          <w:p w14:paraId="71ED1701" w14:textId="3E139698" w:rsidR="005515F7" w:rsidRPr="00EA5BE0" w:rsidRDefault="00E40228" w:rsidP="00F139F9">
            <w:pPr>
              <w:pStyle w:val="TableTextLeft"/>
              <w:cnfStyle w:val="000000000000" w:firstRow="0" w:lastRow="0" w:firstColumn="0" w:lastColumn="0" w:oddVBand="0" w:evenVBand="0" w:oddHBand="0" w:evenHBand="0" w:firstRowFirstColumn="0" w:firstRowLastColumn="0" w:lastRowFirstColumn="0" w:lastRowLastColumn="0"/>
            </w:pPr>
            <w:r>
              <w:t>1</w:t>
            </w:r>
          </w:p>
        </w:tc>
        <w:tc>
          <w:tcPr>
            <w:tcW w:w="1170" w:type="dxa"/>
            <w:hideMark/>
          </w:tcPr>
          <w:p w14:paraId="2F986CD0" w14:textId="50971840" w:rsidR="005515F7" w:rsidRPr="00EA5BE0" w:rsidRDefault="00E40228" w:rsidP="00F139F9">
            <w:pPr>
              <w:pStyle w:val="TableTextLeft"/>
              <w:cnfStyle w:val="000000000000" w:firstRow="0" w:lastRow="0" w:firstColumn="0" w:lastColumn="0" w:oddVBand="0" w:evenVBand="0" w:oddHBand="0" w:evenHBand="0" w:firstRowFirstColumn="0" w:firstRowLastColumn="0" w:lastRowFirstColumn="0" w:lastRowLastColumn="0"/>
            </w:pPr>
            <w:r>
              <w:t>C</w:t>
            </w:r>
          </w:p>
        </w:tc>
      </w:tr>
      <w:tr w:rsidR="005515F7" w:rsidRPr="00EA5BE0" w14:paraId="04DE8DC5"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7A3E80BF" w14:textId="751327CF" w:rsidR="005515F7" w:rsidRPr="00EA5BE0" w:rsidRDefault="00E40228" w:rsidP="002F7DDD">
            <w:pPr>
              <w:pStyle w:val="TableTextLeft"/>
            </w:pPr>
            <w:r w:rsidRPr="00E40228">
              <w:t>We recommend pharmacological thromboprophylaxis with LMWH over pharmacological thromboprophylaxis with UFH to prevent VTE in ICU patients</w:t>
            </w:r>
            <w:r>
              <w:t>.</w:t>
            </w:r>
          </w:p>
        </w:tc>
        <w:tc>
          <w:tcPr>
            <w:tcW w:w="1710" w:type="dxa"/>
            <w:noWrap/>
            <w:hideMark/>
          </w:tcPr>
          <w:p w14:paraId="4ADE170C" w14:textId="7AEB1D24" w:rsidR="005515F7" w:rsidRPr="00EA5BE0" w:rsidRDefault="00E40228" w:rsidP="00F139F9">
            <w:pPr>
              <w:pStyle w:val="TableTextLeft"/>
              <w:cnfStyle w:val="000000000000" w:firstRow="0" w:lastRow="0" w:firstColumn="0" w:lastColumn="0" w:oddVBand="0" w:evenVBand="0" w:oddHBand="0" w:evenHBand="0" w:firstRowFirstColumn="0" w:firstRowLastColumn="0" w:lastRowFirstColumn="0" w:lastRowLastColumn="0"/>
            </w:pPr>
            <w:r>
              <w:t>1</w:t>
            </w:r>
          </w:p>
        </w:tc>
        <w:tc>
          <w:tcPr>
            <w:tcW w:w="1170" w:type="dxa"/>
            <w:noWrap/>
            <w:hideMark/>
          </w:tcPr>
          <w:p w14:paraId="45270458" w14:textId="4F8A3C58" w:rsidR="005515F7" w:rsidRPr="00EA5BE0" w:rsidRDefault="00E40228" w:rsidP="00F139F9">
            <w:pPr>
              <w:pStyle w:val="TableTextLeft"/>
              <w:cnfStyle w:val="000000000000" w:firstRow="0" w:lastRow="0" w:firstColumn="0" w:lastColumn="0" w:oddVBand="0" w:evenVBand="0" w:oddHBand="0" w:evenHBand="0" w:firstRowFirstColumn="0" w:firstRowLastColumn="0" w:lastRowFirstColumn="0" w:lastRowLastColumn="0"/>
            </w:pPr>
            <w:r>
              <w:t>B</w:t>
            </w:r>
          </w:p>
        </w:tc>
      </w:tr>
      <w:tr w:rsidR="005515F7" w:rsidRPr="00EA5BE0" w14:paraId="2BCA7F4B"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68F18453" w14:textId="023DB213" w:rsidR="005515F7" w:rsidRPr="00EA5BE0" w:rsidRDefault="00AE5919" w:rsidP="002F7DDD">
            <w:pPr>
              <w:pStyle w:val="TableTextLeft"/>
            </w:pPr>
            <w:r w:rsidRPr="00AE5919">
              <w:t xml:space="preserve">We suggest using pharmacological thromboprophylaxis with UFH or </w:t>
            </w:r>
            <w:proofErr w:type="spellStart"/>
            <w:r w:rsidRPr="00AE5919">
              <w:t>dalteparin</w:t>
            </w:r>
            <w:proofErr w:type="spellEnd"/>
            <w:r w:rsidRPr="00AE5919">
              <w:t xml:space="preserve"> over other LMWH in ICU patients with severe renal dysfunction</w:t>
            </w:r>
            <w:r>
              <w:t>.</w:t>
            </w:r>
          </w:p>
        </w:tc>
        <w:tc>
          <w:tcPr>
            <w:tcW w:w="1710" w:type="dxa"/>
            <w:noWrap/>
            <w:hideMark/>
          </w:tcPr>
          <w:p w14:paraId="146E421E" w14:textId="13E53542" w:rsidR="005515F7" w:rsidRPr="00EA5BE0" w:rsidRDefault="00AE5919" w:rsidP="00F139F9">
            <w:pPr>
              <w:pStyle w:val="TableTextLeft"/>
              <w:cnfStyle w:val="000000000000" w:firstRow="0" w:lastRow="0" w:firstColumn="0" w:lastColumn="0" w:oddVBand="0" w:evenVBand="0" w:oddHBand="0" w:evenHBand="0" w:firstRowFirstColumn="0" w:firstRowLastColumn="0" w:lastRowFirstColumn="0" w:lastRowLastColumn="0"/>
            </w:pPr>
            <w:r>
              <w:t>2</w:t>
            </w:r>
          </w:p>
        </w:tc>
        <w:tc>
          <w:tcPr>
            <w:tcW w:w="1170" w:type="dxa"/>
            <w:noWrap/>
            <w:hideMark/>
          </w:tcPr>
          <w:p w14:paraId="64EB23D5" w14:textId="302A243E" w:rsidR="005515F7" w:rsidRPr="00EA5BE0" w:rsidRDefault="00AE5919" w:rsidP="00F139F9">
            <w:pPr>
              <w:pStyle w:val="TableTextLeft"/>
              <w:cnfStyle w:val="000000000000" w:firstRow="0" w:lastRow="0" w:firstColumn="0" w:lastColumn="0" w:oddVBand="0" w:evenVBand="0" w:oddHBand="0" w:evenHBand="0" w:firstRowFirstColumn="0" w:firstRowLastColumn="0" w:lastRowFirstColumn="0" w:lastRowLastColumn="0"/>
            </w:pPr>
            <w:r>
              <w:t>C</w:t>
            </w:r>
          </w:p>
        </w:tc>
      </w:tr>
      <w:tr w:rsidR="005515F7" w:rsidRPr="00EA5BE0" w14:paraId="68D65F97"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tcPr>
          <w:p w14:paraId="37F76C0F" w14:textId="058023F1" w:rsidR="005515F7" w:rsidRPr="00EA5BE0" w:rsidRDefault="00AE5919" w:rsidP="002F7DDD">
            <w:pPr>
              <w:pStyle w:val="TableTextLeft"/>
            </w:pPr>
            <w:r w:rsidRPr="00AE5919">
              <w:t xml:space="preserve">We recommend pharmacological thromboprophylaxis with </w:t>
            </w:r>
            <w:proofErr w:type="spellStart"/>
            <w:r w:rsidRPr="00AE5919">
              <w:t>argatroban</w:t>
            </w:r>
            <w:proofErr w:type="spellEnd"/>
            <w:r w:rsidRPr="00AE5919">
              <w:t xml:space="preserve"> as first-line option in ICU patients with heparin-induced thrombocytopenia</w:t>
            </w:r>
            <w:r>
              <w:t>.</w:t>
            </w:r>
          </w:p>
        </w:tc>
        <w:tc>
          <w:tcPr>
            <w:tcW w:w="1710" w:type="dxa"/>
            <w:noWrap/>
          </w:tcPr>
          <w:p w14:paraId="29F94ED9" w14:textId="1FEF90A5" w:rsidR="005515F7" w:rsidRPr="00EA5BE0" w:rsidRDefault="00AE5919" w:rsidP="00F139F9">
            <w:pPr>
              <w:pStyle w:val="TableTextLeft"/>
              <w:cnfStyle w:val="000000000000" w:firstRow="0" w:lastRow="0" w:firstColumn="0" w:lastColumn="0" w:oddVBand="0" w:evenVBand="0" w:oddHBand="0" w:evenHBand="0" w:firstRowFirstColumn="0" w:firstRowLastColumn="0" w:lastRowFirstColumn="0" w:lastRowLastColumn="0"/>
            </w:pPr>
            <w:r>
              <w:t>1</w:t>
            </w:r>
          </w:p>
        </w:tc>
        <w:tc>
          <w:tcPr>
            <w:tcW w:w="1170" w:type="dxa"/>
            <w:noWrap/>
          </w:tcPr>
          <w:p w14:paraId="5C52A024" w14:textId="448CD758" w:rsidR="005515F7" w:rsidRPr="00EA5BE0" w:rsidRDefault="00AE5919" w:rsidP="00F139F9">
            <w:pPr>
              <w:pStyle w:val="TableTextLeft"/>
              <w:cnfStyle w:val="000000000000" w:firstRow="0" w:lastRow="0" w:firstColumn="0" w:lastColumn="0" w:oddVBand="0" w:evenVBand="0" w:oddHBand="0" w:evenHBand="0" w:firstRowFirstColumn="0" w:firstRowLastColumn="0" w:lastRowFirstColumn="0" w:lastRowLastColumn="0"/>
            </w:pPr>
            <w:r>
              <w:t>C</w:t>
            </w:r>
          </w:p>
        </w:tc>
      </w:tr>
      <w:tr w:rsidR="005515F7" w:rsidRPr="00EA5BE0" w14:paraId="0E1002E1"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tcPr>
          <w:p w14:paraId="031E0DE2" w14:textId="4EB64B13" w:rsidR="005515F7" w:rsidRPr="00EA5BE0" w:rsidRDefault="008043B1" w:rsidP="002F7DDD">
            <w:pPr>
              <w:pStyle w:val="TableTextLeft"/>
            </w:pPr>
            <w:r w:rsidRPr="008043B1">
              <w:t>We suggest using IPC over GCS In ICU patients receiving mechanical thromboprophylaxis</w:t>
            </w:r>
            <w:r>
              <w:t>.</w:t>
            </w:r>
          </w:p>
        </w:tc>
        <w:tc>
          <w:tcPr>
            <w:tcW w:w="1710" w:type="dxa"/>
            <w:noWrap/>
          </w:tcPr>
          <w:p w14:paraId="33074B67" w14:textId="426AEBAC" w:rsidR="005515F7" w:rsidRPr="00EA5BE0" w:rsidRDefault="008043B1" w:rsidP="00F139F9">
            <w:pPr>
              <w:pStyle w:val="TableTextLeft"/>
              <w:cnfStyle w:val="000000000000" w:firstRow="0" w:lastRow="0" w:firstColumn="0" w:lastColumn="0" w:oddVBand="0" w:evenVBand="0" w:oddHBand="0" w:evenHBand="0" w:firstRowFirstColumn="0" w:firstRowLastColumn="0" w:lastRowFirstColumn="0" w:lastRowLastColumn="0"/>
            </w:pPr>
            <w:r>
              <w:t>2</w:t>
            </w:r>
          </w:p>
        </w:tc>
        <w:tc>
          <w:tcPr>
            <w:tcW w:w="1170" w:type="dxa"/>
            <w:noWrap/>
          </w:tcPr>
          <w:p w14:paraId="39E48005" w14:textId="4B9503E3" w:rsidR="005515F7" w:rsidRPr="00EA5BE0" w:rsidRDefault="008043B1" w:rsidP="00F139F9">
            <w:pPr>
              <w:pStyle w:val="TableTextLeft"/>
              <w:cnfStyle w:val="000000000000" w:firstRow="0" w:lastRow="0" w:firstColumn="0" w:lastColumn="0" w:oddVBand="0" w:evenVBand="0" w:oddHBand="0" w:evenHBand="0" w:firstRowFirstColumn="0" w:firstRowLastColumn="0" w:lastRowFirstColumn="0" w:lastRowLastColumn="0"/>
            </w:pPr>
            <w:r>
              <w:t>B</w:t>
            </w:r>
          </w:p>
        </w:tc>
      </w:tr>
      <w:tr w:rsidR="005515F7" w:rsidRPr="00EA5BE0" w14:paraId="28EE8D39"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tcPr>
          <w:p w14:paraId="6651A917" w14:textId="0EDD6068" w:rsidR="005515F7" w:rsidRPr="00EA5BE0" w:rsidRDefault="008043B1" w:rsidP="002F7DDD">
            <w:pPr>
              <w:pStyle w:val="TableTextLeft"/>
            </w:pPr>
            <w:r w:rsidRPr="008043B1">
              <w:t>We suggest using combined mechanical and pharmacological thromboprophylaxis in selected patients at very high risk for VTE, particularly critically ill surgical patients</w:t>
            </w:r>
            <w:r>
              <w:t>.</w:t>
            </w:r>
          </w:p>
        </w:tc>
        <w:tc>
          <w:tcPr>
            <w:tcW w:w="1710" w:type="dxa"/>
            <w:noWrap/>
          </w:tcPr>
          <w:p w14:paraId="65D0B564" w14:textId="5DC81D0B" w:rsidR="005515F7" w:rsidRPr="00EA5BE0" w:rsidRDefault="008043B1" w:rsidP="00F139F9">
            <w:pPr>
              <w:pStyle w:val="TableTextLeft"/>
              <w:cnfStyle w:val="000000000000" w:firstRow="0" w:lastRow="0" w:firstColumn="0" w:lastColumn="0" w:oddVBand="0" w:evenVBand="0" w:oddHBand="0" w:evenHBand="0" w:firstRowFirstColumn="0" w:firstRowLastColumn="0" w:lastRowFirstColumn="0" w:lastRowLastColumn="0"/>
            </w:pPr>
            <w:r>
              <w:t>2</w:t>
            </w:r>
          </w:p>
        </w:tc>
        <w:tc>
          <w:tcPr>
            <w:tcW w:w="1170" w:type="dxa"/>
            <w:noWrap/>
          </w:tcPr>
          <w:p w14:paraId="12CBA110" w14:textId="610F0FBA" w:rsidR="005515F7" w:rsidRPr="00EA5BE0" w:rsidRDefault="008043B1" w:rsidP="00F139F9">
            <w:pPr>
              <w:pStyle w:val="TableTextLeft"/>
              <w:cnfStyle w:val="000000000000" w:firstRow="0" w:lastRow="0" w:firstColumn="0" w:lastColumn="0" w:oddVBand="0" w:evenVBand="0" w:oddHBand="0" w:evenHBand="0" w:firstRowFirstColumn="0" w:firstRowLastColumn="0" w:lastRowFirstColumn="0" w:lastRowLastColumn="0"/>
            </w:pPr>
            <w:r>
              <w:t>B</w:t>
            </w:r>
          </w:p>
        </w:tc>
      </w:tr>
      <w:tr w:rsidR="005515F7" w:rsidRPr="00EA5BE0" w14:paraId="45CEFB77"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tcPr>
          <w:p w14:paraId="62AC9634" w14:textId="7742959F" w:rsidR="005515F7" w:rsidRPr="00EA5BE0" w:rsidRDefault="008043B1" w:rsidP="002F7DDD">
            <w:pPr>
              <w:pStyle w:val="TableTextLeft"/>
            </w:pPr>
            <w:r w:rsidRPr="008043B1">
              <w:t>We suggest the use of IPC rather than GCS in addition to pharmacological thromboprophylaxis in selected critically ill patients at very high risk</w:t>
            </w:r>
            <w:r>
              <w:t>.</w:t>
            </w:r>
          </w:p>
        </w:tc>
        <w:tc>
          <w:tcPr>
            <w:tcW w:w="1710" w:type="dxa"/>
            <w:noWrap/>
          </w:tcPr>
          <w:p w14:paraId="120B2235" w14:textId="5F0A0AB7" w:rsidR="005515F7" w:rsidRPr="00EA5BE0" w:rsidRDefault="0083447E" w:rsidP="00F139F9">
            <w:pPr>
              <w:pStyle w:val="TableTextLeft"/>
              <w:cnfStyle w:val="000000000000" w:firstRow="0" w:lastRow="0" w:firstColumn="0" w:lastColumn="0" w:oddVBand="0" w:evenVBand="0" w:oddHBand="0" w:evenHBand="0" w:firstRowFirstColumn="0" w:firstRowLastColumn="0" w:lastRowFirstColumn="0" w:lastRowLastColumn="0"/>
            </w:pPr>
            <w:r>
              <w:t>2</w:t>
            </w:r>
          </w:p>
        </w:tc>
        <w:tc>
          <w:tcPr>
            <w:tcW w:w="1170" w:type="dxa"/>
            <w:noWrap/>
          </w:tcPr>
          <w:p w14:paraId="502C1283" w14:textId="1F49EA45" w:rsidR="005515F7" w:rsidRPr="00EA5BE0" w:rsidRDefault="0083447E" w:rsidP="00F139F9">
            <w:pPr>
              <w:pStyle w:val="TableTextLeft"/>
              <w:cnfStyle w:val="000000000000" w:firstRow="0" w:lastRow="0" w:firstColumn="0" w:lastColumn="0" w:oddVBand="0" w:evenVBand="0" w:oddHBand="0" w:evenHBand="0" w:firstRowFirstColumn="0" w:firstRowLastColumn="0" w:lastRowFirstColumn="0" w:lastRowLastColumn="0"/>
            </w:pPr>
            <w:r>
              <w:t>B</w:t>
            </w:r>
          </w:p>
        </w:tc>
      </w:tr>
      <w:tr w:rsidR="005515F7" w:rsidRPr="00EA5BE0" w14:paraId="2CB71B6D"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tcPr>
          <w:p w14:paraId="3091CFD6" w14:textId="3510F8EC" w:rsidR="005515F7" w:rsidRPr="00EA5BE0" w:rsidRDefault="0083447E" w:rsidP="002F7DDD">
            <w:pPr>
              <w:pStyle w:val="TableTextLeft"/>
            </w:pPr>
            <w:r w:rsidRPr="0083447E">
              <w:t>We suggest using an intermediate dose of LMWH over a low dose in ICU patients receiving pharmacological thromboprophylaxis following an individualized risk/benefit analysis</w:t>
            </w:r>
            <w:r>
              <w:t>.</w:t>
            </w:r>
          </w:p>
        </w:tc>
        <w:tc>
          <w:tcPr>
            <w:tcW w:w="1710" w:type="dxa"/>
            <w:noWrap/>
          </w:tcPr>
          <w:p w14:paraId="64DF02C8" w14:textId="672A483A" w:rsidR="005515F7" w:rsidRPr="00EA5BE0" w:rsidRDefault="0083447E" w:rsidP="00F139F9">
            <w:pPr>
              <w:pStyle w:val="TableTextLeft"/>
              <w:cnfStyle w:val="000000000000" w:firstRow="0" w:lastRow="0" w:firstColumn="0" w:lastColumn="0" w:oddVBand="0" w:evenVBand="0" w:oddHBand="0" w:evenHBand="0" w:firstRowFirstColumn="0" w:firstRowLastColumn="0" w:lastRowFirstColumn="0" w:lastRowLastColumn="0"/>
            </w:pPr>
            <w:r>
              <w:t>2</w:t>
            </w:r>
          </w:p>
        </w:tc>
        <w:tc>
          <w:tcPr>
            <w:tcW w:w="1170" w:type="dxa"/>
            <w:noWrap/>
          </w:tcPr>
          <w:p w14:paraId="5A7A9BC8" w14:textId="5C21D8BF" w:rsidR="005515F7" w:rsidRPr="00EA5BE0" w:rsidRDefault="0083447E" w:rsidP="00F139F9">
            <w:pPr>
              <w:pStyle w:val="TableTextLeft"/>
              <w:cnfStyle w:val="000000000000" w:firstRow="0" w:lastRow="0" w:firstColumn="0" w:lastColumn="0" w:oddVBand="0" w:evenVBand="0" w:oddHBand="0" w:evenHBand="0" w:firstRowFirstColumn="0" w:firstRowLastColumn="0" w:lastRowFirstColumn="0" w:lastRowLastColumn="0"/>
            </w:pPr>
            <w:r>
              <w:t>B</w:t>
            </w:r>
          </w:p>
        </w:tc>
      </w:tr>
      <w:tr w:rsidR="005515F7" w:rsidRPr="00EA5BE0" w14:paraId="0ECC9B7F"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tcPr>
          <w:p w14:paraId="07A4014A" w14:textId="33161230" w:rsidR="005515F7" w:rsidRPr="00EA5BE0" w:rsidRDefault="0083447E" w:rsidP="002F7DDD">
            <w:pPr>
              <w:pStyle w:val="TableTextLeft"/>
            </w:pPr>
            <w:r w:rsidRPr="0083447E">
              <w:t xml:space="preserve">We suggest not to apply routine monitoring of </w:t>
            </w:r>
            <w:proofErr w:type="spellStart"/>
            <w:r w:rsidRPr="0083447E">
              <w:t>aFXa</w:t>
            </w:r>
            <w:proofErr w:type="spellEnd"/>
            <w:r w:rsidRPr="0083447E">
              <w:t xml:space="preserve"> levels in patients admitted to the ICU receiving LMWH as thromboprophylaxis</w:t>
            </w:r>
            <w:r>
              <w:t>.</w:t>
            </w:r>
          </w:p>
        </w:tc>
        <w:tc>
          <w:tcPr>
            <w:tcW w:w="1710" w:type="dxa"/>
            <w:noWrap/>
          </w:tcPr>
          <w:p w14:paraId="39D21B72" w14:textId="70C497AC" w:rsidR="005515F7" w:rsidRPr="00EA5BE0" w:rsidRDefault="0083447E" w:rsidP="00F139F9">
            <w:pPr>
              <w:pStyle w:val="TableTextLeft"/>
              <w:cnfStyle w:val="000000000000" w:firstRow="0" w:lastRow="0" w:firstColumn="0" w:lastColumn="0" w:oddVBand="0" w:evenVBand="0" w:oddHBand="0" w:evenHBand="0" w:firstRowFirstColumn="0" w:firstRowLastColumn="0" w:lastRowFirstColumn="0" w:lastRowLastColumn="0"/>
            </w:pPr>
            <w:r>
              <w:t>2</w:t>
            </w:r>
          </w:p>
        </w:tc>
        <w:tc>
          <w:tcPr>
            <w:tcW w:w="1170" w:type="dxa"/>
            <w:noWrap/>
          </w:tcPr>
          <w:p w14:paraId="4C73BAA8" w14:textId="40FB9254" w:rsidR="005515F7" w:rsidRPr="00EA5BE0" w:rsidRDefault="0083447E" w:rsidP="00F139F9">
            <w:pPr>
              <w:pStyle w:val="TableTextLeft"/>
              <w:cnfStyle w:val="000000000000" w:firstRow="0" w:lastRow="0" w:firstColumn="0" w:lastColumn="0" w:oddVBand="0" w:evenVBand="0" w:oddHBand="0" w:evenHBand="0" w:firstRowFirstColumn="0" w:firstRowLastColumn="0" w:lastRowFirstColumn="0" w:lastRowLastColumn="0"/>
            </w:pPr>
            <w:r>
              <w:t>C</w:t>
            </w:r>
          </w:p>
        </w:tc>
      </w:tr>
      <w:tr w:rsidR="005515F7" w:rsidRPr="00EA5BE0" w14:paraId="623C47BF"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tcPr>
          <w:p w14:paraId="5A761028" w14:textId="6ABAACE8" w:rsidR="005515F7" w:rsidRPr="00EA5BE0" w:rsidRDefault="006A3668" w:rsidP="002F7DDD">
            <w:pPr>
              <w:pStyle w:val="TableTextLeft"/>
            </w:pPr>
            <w:r w:rsidRPr="006A3668">
              <w:t xml:space="preserve">We suggest </w:t>
            </w:r>
            <w:proofErr w:type="spellStart"/>
            <w:r w:rsidRPr="006A3668">
              <w:t>aFXa</w:t>
            </w:r>
            <w:proofErr w:type="spellEnd"/>
            <w:r w:rsidRPr="006A3668">
              <w:t xml:space="preserve"> levels monitoring in selected cases of patients admitted to the ICU receiving LMWH as thromboprophylaxis, that is, those with renal impairment or morbidly obese patients</w:t>
            </w:r>
            <w:r>
              <w:t>.</w:t>
            </w:r>
          </w:p>
        </w:tc>
        <w:tc>
          <w:tcPr>
            <w:tcW w:w="1710" w:type="dxa"/>
            <w:noWrap/>
          </w:tcPr>
          <w:p w14:paraId="7E56B122" w14:textId="16882A15" w:rsidR="005515F7" w:rsidRPr="00EA5BE0" w:rsidRDefault="006A3668" w:rsidP="00F139F9">
            <w:pPr>
              <w:pStyle w:val="TableTextLeft"/>
              <w:cnfStyle w:val="000000000000" w:firstRow="0" w:lastRow="0" w:firstColumn="0" w:lastColumn="0" w:oddVBand="0" w:evenVBand="0" w:oddHBand="0" w:evenHBand="0" w:firstRowFirstColumn="0" w:firstRowLastColumn="0" w:lastRowFirstColumn="0" w:lastRowLastColumn="0"/>
            </w:pPr>
            <w:r>
              <w:t>2</w:t>
            </w:r>
          </w:p>
        </w:tc>
        <w:tc>
          <w:tcPr>
            <w:tcW w:w="1170" w:type="dxa"/>
            <w:noWrap/>
          </w:tcPr>
          <w:p w14:paraId="5ED6670D" w14:textId="00C32D64" w:rsidR="005515F7" w:rsidRPr="00EA5BE0" w:rsidRDefault="006A3668" w:rsidP="00F139F9">
            <w:pPr>
              <w:pStyle w:val="TableTextLeft"/>
              <w:cnfStyle w:val="000000000000" w:firstRow="0" w:lastRow="0" w:firstColumn="0" w:lastColumn="0" w:oddVBand="0" w:evenVBand="0" w:oddHBand="0" w:evenHBand="0" w:firstRowFirstColumn="0" w:firstRowLastColumn="0" w:lastRowFirstColumn="0" w:lastRowLastColumn="0"/>
            </w:pPr>
            <w:r>
              <w:t>C</w:t>
            </w:r>
          </w:p>
        </w:tc>
      </w:tr>
      <w:tr w:rsidR="005515F7" w:rsidRPr="00EA5BE0" w14:paraId="5F8E52F6"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tcPr>
          <w:p w14:paraId="3D99450D" w14:textId="23C9547F" w:rsidR="005515F7" w:rsidRPr="00EA5BE0" w:rsidRDefault="006A3668" w:rsidP="002F7DDD">
            <w:pPr>
              <w:pStyle w:val="TableTextLeft"/>
            </w:pPr>
            <w:r w:rsidRPr="006A3668">
              <w:t xml:space="preserve">We suggest using an </w:t>
            </w:r>
            <w:proofErr w:type="spellStart"/>
            <w:r w:rsidRPr="006A3668">
              <w:t>aFXa</w:t>
            </w:r>
            <w:proofErr w:type="spellEnd"/>
            <w:r w:rsidRPr="006A3668">
              <w:t xml:space="preserve"> level dose-adjustment protocol for ICU patients with renal impairment or morbid obesity receiving pharmacological thromboprophylaxis</w:t>
            </w:r>
          </w:p>
        </w:tc>
        <w:tc>
          <w:tcPr>
            <w:tcW w:w="1710" w:type="dxa"/>
            <w:noWrap/>
          </w:tcPr>
          <w:p w14:paraId="3BFAD552" w14:textId="7DBB441B" w:rsidR="005515F7" w:rsidRPr="00EA5BE0" w:rsidRDefault="006A3668" w:rsidP="00F139F9">
            <w:pPr>
              <w:pStyle w:val="TableTextLeft"/>
              <w:cnfStyle w:val="000000000000" w:firstRow="0" w:lastRow="0" w:firstColumn="0" w:lastColumn="0" w:oddVBand="0" w:evenVBand="0" w:oddHBand="0" w:evenHBand="0" w:firstRowFirstColumn="0" w:firstRowLastColumn="0" w:lastRowFirstColumn="0" w:lastRowLastColumn="0"/>
            </w:pPr>
            <w:r>
              <w:t>2</w:t>
            </w:r>
          </w:p>
        </w:tc>
        <w:tc>
          <w:tcPr>
            <w:tcW w:w="1170" w:type="dxa"/>
            <w:noWrap/>
          </w:tcPr>
          <w:p w14:paraId="20D67D36" w14:textId="1430B3F3" w:rsidR="005515F7" w:rsidRPr="00EA5BE0" w:rsidRDefault="006A3668" w:rsidP="00F139F9">
            <w:pPr>
              <w:pStyle w:val="TableTextLeft"/>
              <w:cnfStyle w:val="000000000000" w:firstRow="0" w:lastRow="0" w:firstColumn="0" w:lastColumn="0" w:oddVBand="0" w:evenVBand="0" w:oddHBand="0" w:evenHBand="0" w:firstRowFirstColumn="0" w:firstRowLastColumn="0" w:lastRowFirstColumn="0" w:lastRowLastColumn="0"/>
            </w:pPr>
            <w:r>
              <w:t>C</w:t>
            </w:r>
          </w:p>
        </w:tc>
      </w:tr>
    </w:tbl>
    <w:p w14:paraId="590E5FA6" w14:textId="636AC687" w:rsidR="00EA5BE0" w:rsidRPr="00EA5BE0" w:rsidRDefault="00EA5BE0" w:rsidP="00BA5993">
      <w:pPr>
        <w:pStyle w:val="H3"/>
        <w:rPr>
          <w:rFonts w:eastAsia="Times New Roman"/>
        </w:rPr>
      </w:pPr>
      <w:bookmarkStart w:id="23" w:name="_Toc195287989"/>
      <w:r w:rsidRPr="00EA5BE0">
        <w:rPr>
          <w:rFonts w:eastAsia="Times New Roman"/>
        </w:rPr>
        <w:t>4.4</w:t>
      </w:r>
      <w:r w:rsidR="00E35C94">
        <w:rPr>
          <w:rFonts w:eastAsia="Times New Roman"/>
        </w:rPr>
        <w:t>.</w:t>
      </w:r>
      <w:r w:rsidR="00E35C94">
        <w:rPr>
          <w:rFonts w:eastAsia="Times New Roman"/>
        </w:rPr>
        <w:tab/>
      </w:r>
      <w:r w:rsidR="00F60947">
        <w:rPr>
          <w:rFonts w:eastAsia="Times New Roman"/>
        </w:rPr>
        <w:t>ESA</w:t>
      </w:r>
      <w:r w:rsidRPr="00EA5BE0">
        <w:rPr>
          <w:rFonts w:eastAsia="Times New Roman"/>
        </w:rPr>
        <w:t>: Cardiovascular and thoracic surgery</w:t>
      </w:r>
      <w:bookmarkEnd w:id="23"/>
    </w:p>
    <w:p w14:paraId="177851C0" w14:textId="4D3EC375" w:rsidR="00EA5BE0" w:rsidRPr="00AB6D26" w:rsidRDefault="00AB6D26" w:rsidP="00EA5BE0">
      <w:pPr>
        <w:spacing w:after="0" w:line="240" w:lineRule="auto"/>
        <w:rPr>
          <w:rStyle w:val="Hyperlink"/>
          <w:rFonts w:eastAsia="Times New Roman" w:cstheme="minorHAnsi"/>
          <w:szCs w:val="20"/>
        </w:rPr>
      </w:pPr>
      <w:r>
        <w:rPr>
          <w:rFonts w:eastAsia="Times New Roman" w:cstheme="minorHAnsi"/>
          <w:szCs w:val="20"/>
          <w:u w:val="single"/>
        </w:rPr>
        <w:fldChar w:fldCharType="begin"/>
      </w:r>
      <w:r w:rsidR="00A529BC">
        <w:rPr>
          <w:rFonts w:eastAsia="Times New Roman" w:cstheme="minorHAnsi"/>
          <w:szCs w:val="20"/>
          <w:u w:val="single"/>
        </w:rPr>
        <w:instrText>HYPERLINK "https://journals.lww.com/ejanaesthesiology/fulltext/2018/02000/european_guidelines_on_perioperative_venous.3.aspx"</w:instrText>
      </w:r>
      <w:r>
        <w:rPr>
          <w:rFonts w:eastAsia="Times New Roman" w:cstheme="minorHAnsi"/>
          <w:szCs w:val="20"/>
          <w:u w:val="single"/>
        </w:rPr>
      </w:r>
      <w:r>
        <w:rPr>
          <w:rFonts w:eastAsia="Times New Roman" w:cstheme="minorHAnsi"/>
          <w:szCs w:val="20"/>
          <w:u w:val="single"/>
        </w:rPr>
        <w:fldChar w:fldCharType="separate"/>
      </w:r>
      <w:r w:rsidR="00EA5BE0" w:rsidRPr="00AB6D26">
        <w:rPr>
          <w:rStyle w:val="Hyperlink"/>
          <w:rFonts w:eastAsia="Times New Roman" w:cstheme="minorHAnsi"/>
          <w:szCs w:val="20"/>
        </w:rPr>
        <w:t xml:space="preserve">Ahmed, A. B., Koster, A., Lance, M., &amp; Faraoni, D. (2018). European guidelines on perioperative venous thromboembolism prophylaxis: Cardiovascular and thoracic surgery. </w:t>
      </w:r>
      <w:r w:rsidR="00EA5BE0" w:rsidRPr="00AB6D26">
        <w:rPr>
          <w:rStyle w:val="Hyperlink"/>
          <w:rFonts w:eastAsia="Times New Roman" w:cstheme="minorHAnsi"/>
          <w:i/>
          <w:iCs/>
          <w:szCs w:val="20"/>
        </w:rPr>
        <w:t>European Journal of Anaesthesiology</w:t>
      </w:r>
      <w:r w:rsidR="00EA5BE0" w:rsidRPr="00AB6D26">
        <w:rPr>
          <w:rStyle w:val="Hyperlink"/>
          <w:rFonts w:eastAsia="Times New Roman" w:cstheme="minorHAnsi"/>
          <w:szCs w:val="20"/>
        </w:rPr>
        <w:t xml:space="preserve">, </w:t>
      </w:r>
      <w:r w:rsidR="00EA5BE0" w:rsidRPr="00AB6D26">
        <w:rPr>
          <w:rStyle w:val="Hyperlink"/>
          <w:rFonts w:eastAsia="Times New Roman" w:cstheme="minorHAnsi"/>
          <w:i/>
          <w:iCs/>
          <w:szCs w:val="20"/>
        </w:rPr>
        <w:t>35</w:t>
      </w:r>
      <w:r w:rsidR="00EA5BE0" w:rsidRPr="00AB6D26">
        <w:rPr>
          <w:rStyle w:val="Hyperlink"/>
          <w:rFonts w:eastAsia="Times New Roman" w:cstheme="minorHAnsi"/>
          <w:szCs w:val="20"/>
        </w:rPr>
        <w:t>(2), 84–89. https://doi.org/10.1097/EJA.0000000000000708</w:t>
      </w:r>
    </w:p>
    <w:p w14:paraId="7DE5028C" w14:textId="608A5613" w:rsidR="00EA5BE0" w:rsidRPr="00AB6D26" w:rsidRDefault="00AB6D26" w:rsidP="00EA5BE0">
      <w:pPr>
        <w:suppressAutoHyphens/>
        <w:spacing w:before="240" w:after="120" w:line="276" w:lineRule="auto"/>
        <w:rPr>
          <w:rFonts w:eastAsia="Calibri" w:cstheme="minorHAnsi"/>
          <w:szCs w:val="20"/>
        </w:rPr>
      </w:pPr>
      <w:r>
        <w:rPr>
          <w:rFonts w:eastAsia="Times New Roman" w:cstheme="minorHAnsi"/>
          <w:szCs w:val="20"/>
          <w:u w:val="single"/>
        </w:rPr>
        <w:fldChar w:fldCharType="end"/>
      </w:r>
      <w:r w:rsidR="00EA5BE0" w:rsidRPr="00AB6D26">
        <w:rPr>
          <w:rFonts w:eastAsia="Calibri" w:cstheme="minorHAnsi"/>
          <w:szCs w:val="20"/>
        </w:rPr>
        <w:t xml:space="preserve">Key guideline recommendations for patients undergoing cardiovascular and thoracic surgery are included in </w:t>
      </w:r>
      <w:r w:rsidR="00EA5BE0" w:rsidRPr="00AB6D26">
        <w:rPr>
          <w:rFonts w:eastAsia="Calibri" w:cstheme="minorHAnsi"/>
          <w:b/>
          <w:bCs/>
          <w:szCs w:val="20"/>
        </w:rPr>
        <w:t>Table 2</w:t>
      </w:r>
      <w:r w:rsidR="00583356">
        <w:rPr>
          <w:rFonts w:eastAsia="Calibri" w:cstheme="minorHAnsi"/>
          <w:b/>
          <w:bCs/>
          <w:szCs w:val="20"/>
        </w:rPr>
        <w:t>5</w:t>
      </w:r>
      <w:r w:rsidR="00EA5BE0" w:rsidRPr="00AB6D26">
        <w:rPr>
          <w:rFonts w:eastAsia="Calibri" w:cstheme="minorHAnsi"/>
          <w:b/>
          <w:bCs/>
          <w:szCs w:val="20"/>
        </w:rPr>
        <w:t xml:space="preserve"> </w:t>
      </w:r>
      <w:r w:rsidR="00EA5BE0" w:rsidRPr="00AB6D26">
        <w:rPr>
          <w:rFonts w:eastAsia="Calibri" w:cstheme="minorHAnsi"/>
          <w:szCs w:val="20"/>
        </w:rPr>
        <w:t>below.</w:t>
      </w:r>
    </w:p>
    <w:p w14:paraId="559F9FDB" w14:textId="4956B12E" w:rsidR="00EA5BE0" w:rsidRPr="00EA5BE0" w:rsidRDefault="00EA5BE0" w:rsidP="00C4605C">
      <w:pPr>
        <w:pStyle w:val="TableTitle"/>
      </w:pPr>
      <w:r w:rsidRPr="00454165">
        <w:rPr>
          <w:b/>
          <w:bCs/>
        </w:rPr>
        <w:lastRenderedPageBreak/>
        <w:t>Table 2</w:t>
      </w:r>
      <w:r w:rsidR="00583356" w:rsidRPr="00454165">
        <w:rPr>
          <w:b/>
          <w:bCs/>
        </w:rPr>
        <w:t>5</w:t>
      </w:r>
      <w:r w:rsidR="00454165" w:rsidRPr="00454165">
        <w:rPr>
          <w:b/>
          <w:bCs/>
        </w:rPr>
        <w:t>.</w:t>
      </w:r>
      <w:r w:rsidRPr="00454165">
        <w:rPr>
          <w:b/>
          <w:bCs/>
        </w:rPr>
        <w:t xml:space="preserve"> </w:t>
      </w:r>
      <w:r w:rsidRPr="00EA5BE0">
        <w:t>ESA (2018)</w:t>
      </w:r>
      <w:r w:rsidR="00D37E2C">
        <w:t xml:space="preserve"> </w:t>
      </w:r>
      <w:r w:rsidR="008F2F67">
        <w:t>Guidelines focused on cardiovascular and thoracic surgery</w:t>
      </w:r>
    </w:p>
    <w:tbl>
      <w:tblPr>
        <w:tblStyle w:val="AlternateTable"/>
        <w:tblW w:w="5000" w:type="pct"/>
        <w:tblLook w:val="04A0" w:firstRow="1" w:lastRow="0" w:firstColumn="1" w:lastColumn="0" w:noHBand="0" w:noVBand="1"/>
      </w:tblPr>
      <w:tblGrid>
        <w:gridCol w:w="10080"/>
        <w:gridCol w:w="1710"/>
        <w:gridCol w:w="1170"/>
      </w:tblGrid>
      <w:tr w:rsidR="00EA5BE0" w:rsidRPr="00EA5BE0" w14:paraId="1FC27B69" w14:textId="77777777" w:rsidTr="00F139F9">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10080" w:type="dxa"/>
            <w:vAlign w:val="bottom"/>
            <w:hideMark/>
          </w:tcPr>
          <w:p w14:paraId="67C47D15" w14:textId="77777777" w:rsidR="00EA5BE0" w:rsidRPr="00EA5BE0" w:rsidRDefault="00EA5BE0" w:rsidP="00077226">
            <w:pPr>
              <w:pStyle w:val="TableHeaderLeft"/>
              <w:rPr>
                <w:b w:val="0"/>
              </w:rPr>
            </w:pPr>
            <w:r w:rsidRPr="00EA5BE0">
              <w:t>Verbatim Guideline</w:t>
            </w:r>
          </w:p>
        </w:tc>
        <w:tc>
          <w:tcPr>
            <w:tcW w:w="1710" w:type="dxa"/>
            <w:vAlign w:val="bottom"/>
            <w:hideMark/>
          </w:tcPr>
          <w:p w14:paraId="77FF7760" w14:textId="77777777" w:rsidR="00EA5BE0" w:rsidRPr="00EA5BE0" w:rsidRDefault="00EA5BE0" w:rsidP="00077226">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170" w:type="dxa"/>
            <w:vAlign w:val="bottom"/>
            <w:hideMark/>
          </w:tcPr>
          <w:p w14:paraId="1E939B88" w14:textId="77777777" w:rsidR="00EA5BE0" w:rsidRPr="00EA5BE0" w:rsidRDefault="00EA5BE0" w:rsidP="00077226">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077226" w:rsidRPr="00EA5BE0" w14:paraId="2FEE95B4"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shd w:val="clear" w:color="auto" w:fill="0B2949" w:themeFill="accent1"/>
          </w:tcPr>
          <w:p w14:paraId="486A94D9" w14:textId="19429DD4" w:rsidR="00077226" w:rsidRPr="00EA5BE0" w:rsidRDefault="00077226" w:rsidP="00077226">
            <w:pPr>
              <w:pStyle w:val="TableRowHead"/>
              <w:rPr>
                <w:color w:val="000000"/>
              </w:rPr>
            </w:pPr>
            <w:r w:rsidRPr="00F805E1">
              <w:t>Cardiac and Vascular Surgery</w:t>
            </w:r>
          </w:p>
        </w:tc>
        <w:tc>
          <w:tcPr>
            <w:tcW w:w="1710" w:type="dxa"/>
            <w:shd w:val="clear" w:color="auto" w:fill="0B2949" w:themeFill="accent1"/>
          </w:tcPr>
          <w:p w14:paraId="3BDD22D2" w14:textId="77777777" w:rsidR="00077226" w:rsidRPr="00EA5BE0" w:rsidRDefault="00077226" w:rsidP="00077226">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tcPr>
          <w:p w14:paraId="2D8DB1E6" w14:textId="77777777" w:rsidR="00077226" w:rsidRPr="00EA5BE0" w:rsidRDefault="00077226" w:rsidP="00077226">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EA5BE0" w:rsidRPr="00EA5BE0" w14:paraId="578B8024"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49E21EAF" w14:textId="77777777" w:rsidR="00EA5BE0" w:rsidRPr="00EA5BE0" w:rsidRDefault="00EA5BE0" w:rsidP="00077226">
            <w:pPr>
              <w:pStyle w:val="TableTextLeft"/>
            </w:pPr>
            <w:r w:rsidRPr="00EA5BE0">
              <w:t>In the absence of risk factors, we suggest considering the risk of VTE as moderate in patients undergoing coronary artery by-pass graft (CABG) and bioprosthetic aortic valve implantation surgery.</w:t>
            </w:r>
          </w:p>
        </w:tc>
        <w:tc>
          <w:tcPr>
            <w:tcW w:w="1710" w:type="dxa"/>
            <w:hideMark/>
          </w:tcPr>
          <w:p w14:paraId="02C00927"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1C2BCE06"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62D45248"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1DBFCC42" w14:textId="77777777" w:rsidR="00EA5BE0" w:rsidRPr="00EA5BE0" w:rsidRDefault="00EA5BE0" w:rsidP="00077226">
            <w:pPr>
              <w:pStyle w:val="TableTextLeft"/>
            </w:pPr>
            <w:r w:rsidRPr="00EA5BE0">
              <w:t>If the risk of bleeding is to be considered high, we suggest the use of mechanical prophylaxis using IPC.</w:t>
            </w:r>
          </w:p>
        </w:tc>
        <w:tc>
          <w:tcPr>
            <w:tcW w:w="1710" w:type="dxa"/>
            <w:hideMark/>
          </w:tcPr>
          <w:p w14:paraId="620BB805"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769F92EC"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4694387A"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06657963" w14:textId="77777777" w:rsidR="00EA5BE0" w:rsidRPr="00EA5BE0" w:rsidRDefault="00EA5BE0" w:rsidP="00077226">
            <w:pPr>
              <w:pStyle w:val="TableTextLeft"/>
            </w:pPr>
            <w:r w:rsidRPr="00EA5BE0">
              <w:t xml:space="preserve">The presence of one or more risk factors [age above 70 years, transfusion of more than four units of RBC concentrate/fresh frozen plasma/cryoprecipitate/fibrinogen concentrate, mechanical ventilation more than 24 h, postoperative complication (e.g. acute kidney injury, infection/sepsis, neurological complication)] should place the cardiac population at high risk for VTE. In this context, we suggest the use of pharmacological prophylaxis as soon as satisfactory </w:t>
            </w:r>
            <w:proofErr w:type="spellStart"/>
            <w:r w:rsidRPr="00EA5BE0">
              <w:t>haemostasis</w:t>
            </w:r>
            <w:proofErr w:type="spellEnd"/>
            <w:r w:rsidRPr="00EA5BE0">
              <w:t xml:space="preserve"> has been achieved, in addition to IPC.</w:t>
            </w:r>
          </w:p>
        </w:tc>
        <w:tc>
          <w:tcPr>
            <w:tcW w:w="1710" w:type="dxa"/>
            <w:noWrap/>
            <w:hideMark/>
          </w:tcPr>
          <w:p w14:paraId="7DEE8DA6"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43BD0C78"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1BA36802"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3F4774D7" w14:textId="77777777" w:rsidR="00EA5BE0" w:rsidRPr="00EA5BE0" w:rsidRDefault="00EA5BE0" w:rsidP="00077226">
            <w:pPr>
              <w:pStyle w:val="TableTextLeft"/>
            </w:pPr>
            <w:r w:rsidRPr="00EA5BE0">
              <w:t>Patients undergoing other valve surgery and those with atrial fibrillation should be considered a specific entity at high risk of VTE, as they will mostly require postoperative therapeutic medical ‘bridging’ prior to long-term anti-coagulation.</w:t>
            </w:r>
          </w:p>
        </w:tc>
        <w:tc>
          <w:tcPr>
            <w:tcW w:w="1710" w:type="dxa"/>
            <w:noWrap/>
            <w:hideMark/>
          </w:tcPr>
          <w:p w14:paraId="335A31C0"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N/A</w:t>
            </w:r>
          </w:p>
        </w:tc>
        <w:tc>
          <w:tcPr>
            <w:tcW w:w="1170" w:type="dxa"/>
            <w:noWrap/>
            <w:hideMark/>
          </w:tcPr>
          <w:p w14:paraId="26335DD4"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N/A</w:t>
            </w:r>
          </w:p>
        </w:tc>
      </w:tr>
      <w:tr w:rsidR="00EA5BE0" w:rsidRPr="00EA5BE0" w14:paraId="6DA6E43A"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66D9CDF8" w14:textId="74E29277" w:rsidR="00EA5BE0" w:rsidRPr="00EA5BE0" w:rsidRDefault="00EA5BE0" w:rsidP="00077226">
            <w:pPr>
              <w:pStyle w:val="TableTextLeft"/>
            </w:pPr>
            <w:r w:rsidRPr="00EA5BE0">
              <w:t>Patients undergoing peripheral vascular surgery are considered to have a low risk of VTE and low risk of</w:t>
            </w:r>
            <w:r w:rsidR="00474CE9">
              <w:t xml:space="preserve"> </w:t>
            </w:r>
            <w:r w:rsidRPr="00EA5BE0">
              <w:t>bleeding. Stringent medical prophylaxis appears to reduce the event rate significantly. In this population, we suggest medical therapy.</w:t>
            </w:r>
          </w:p>
        </w:tc>
        <w:tc>
          <w:tcPr>
            <w:tcW w:w="1710" w:type="dxa"/>
            <w:noWrap/>
            <w:hideMark/>
          </w:tcPr>
          <w:p w14:paraId="4CBF9A9B"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noWrap/>
            <w:hideMark/>
          </w:tcPr>
          <w:p w14:paraId="6D9AFB48"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71DF62D7"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368E74A4" w14:textId="77777777" w:rsidR="00EA5BE0" w:rsidRPr="00EA5BE0" w:rsidRDefault="00EA5BE0" w:rsidP="00077226">
            <w:pPr>
              <w:pStyle w:val="TableTextLeft"/>
            </w:pPr>
            <w:r w:rsidRPr="00EA5BE0">
              <w:t>In patients undergoing AAA repair, particularly when an open surgical approach is used, the risk of VTE is higher with a high bleeding risk. These patients should be considered as having a moderate risk. Patients with additional risk factors including BMI at least 30 kgm</w:t>
            </w:r>
            <w:r w:rsidRPr="00EA5BE0">
              <w:rPr>
                <w:vertAlign w:val="superscript"/>
              </w:rPr>
              <w:t>-2</w:t>
            </w:r>
            <w:r w:rsidRPr="00EA5BE0">
              <w:t xml:space="preserve">, preoperative </w:t>
            </w:r>
            <w:proofErr w:type="spellStart"/>
            <w:r w:rsidRPr="00EA5BE0">
              <w:t>dyspnoea</w:t>
            </w:r>
            <w:proofErr w:type="spellEnd"/>
            <w:r w:rsidRPr="00EA5BE0">
              <w:t xml:space="preserve">, chronic steroid usage, ruptured aneurysm, open surgery, operative duration at least 5 h, transfusion of at least 5 U, postoperative mechanical ventilation more than 48 h, postoperative complication (acute kidney injury, infection/sepsis) and re-operation, should be considered as moderate-to-high risk. In this context, we suggest the use of pharmacological prophylaxis as soon as satisfactory </w:t>
            </w:r>
            <w:proofErr w:type="spellStart"/>
            <w:r w:rsidRPr="00EA5BE0">
              <w:t>haemostasis</w:t>
            </w:r>
            <w:proofErr w:type="spellEnd"/>
            <w:r w:rsidRPr="00EA5BE0">
              <w:t xml:space="preserve"> is achieved.</w:t>
            </w:r>
          </w:p>
        </w:tc>
        <w:tc>
          <w:tcPr>
            <w:tcW w:w="1710" w:type="dxa"/>
            <w:noWrap/>
            <w:hideMark/>
          </w:tcPr>
          <w:p w14:paraId="121D7CE4"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noWrap/>
            <w:hideMark/>
          </w:tcPr>
          <w:p w14:paraId="104CEAFB"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67CB5527"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21DFD322" w14:textId="77777777" w:rsidR="00EA5BE0" w:rsidRPr="00EA5BE0" w:rsidRDefault="00EA5BE0" w:rsidP="00077226">
            <w:pPr>
              <w:pStyle w:val="TableTextLeft"/>
            </w:pPr>
            <w:r w:rsidRPr="00EA5BE0">
              <w:t>We suggest that low-dose aspirin could be used to decrease the incidence of VTE in cardiac and vascular patients but should not be considered as the sole agent in high-risk patients.</w:t>
            </w:r>
          </w:p>
        </w:tc>
        <w:tc>
          <w:tcPr>
            <w:tcW w:w="1710" w:type="dxa"/>
            <w:noWrap/>
            <w:hideMark/>
          </w:tcPr>
          <w:p w14:paraId="22B3911A"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noWrap/>
            <w:hideMark/>
          </w:tcPr>
          <w:p w14:paraId="5DD24C70"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318B9D39"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7E8EABA8" w14:textId="77777777" w:rsidR="00EA5BE0" w:rsidRPr="00EA5BE0" w:rsidRDefault="00EA5BE0" w:rsidP="00077226">
            <w:pPr>
              <w:pStyle w:val="TableTextLeft"/>
            </w:pPr>
            <w:r w:rsidRPr="00EA5BE0">
              <w:t xml:space="preserve">UFH is associated with the highest risk of developing the pro-thrombotic condition of HIT. Therefore, in an attempt to </w:t>
            </w:r>
            <w:proofErr w:type="spellStart"/>
            <w:r w:rsidRPr="00EA5BE0">
              <w:t>minimise</w:t>
            </w:r>
            <w:proofErr w:type="spellEnd"/>
            <w:r w:rsidRPr="00EA5BE0">
              <w:t xml:space="preserve"> the risk of HIT, we suggest that UFH should be used as briefly as possible and replaced by LMWH as soon as the bleeding risk decreases.</w:t>
            </w:r>
          </w:p>
        </w:tc>
        <w:tc>
          <w:tcPr>
            <w:tcW w:w="1710" w:type="dxa"/>
            <w:noWrap/>
            <w:hideMark/>
          </w:tcPr>
          <w:p w14:paraId="425C3ADA"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noWrap/>
            <w:hideMark/>
          </w:tcPr>
          <w:p w14:paraId="674A898C"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4D8B592D"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541B539F" w14:textId="77777777" w:rsidR="00EA5BE0" w:rsidRPr="00EA5BE0" w:rsidRDefault="00EA5BE0" w:rsidP="00077226">
            <w:pPr>
              <w:pStyle w:val="TableTextLeft"/>
            </w:pPr>
            <w:r w:rsidRPr="00EA5BE0">
              <w:t>In patients with severely impaired renal function (creatinine clearance &lt;30 ml min</w:t>
            </w:r>
            <w:r w:rsidRPr="00EA5BE0">
              <w:rPr>
                <w:vertAlign w:val="superscript"/>
              </w:rPr>
              <w:t>-1</w:t>
            </w:r>
            <w:r w:rsidRPr="00EA5BE0">
              <w:t xml:space="preserve">) and a high risk of </w:t>
            </w:r>
            <w:proofErr w:type="spellStart"/>
            <w:r w:rsidRPr="00EA5BE0">
              <w:t>haemorrhagic</w:t>
            </w:r>
            <w:proofErr w:type="spellEnd"/>
            <w:r w:rsidRPr="00EA5BE0">
              <w:t xml:space="preserve"> complications, we suggest close monitoring of the administration of </w:t>
            </w:r>
            <w:proofErr w:type="gramStart"/>
            <w:r w:rsidRPr="00EA5BE0">
              <w:t>therapeutic</w:t>
            </w:r>
            <w:proofErr w:type="gramEnd"/>
            <w:r w:rsidRPr="00EA5BE0">
              <w:t xml:space="preserve"> UFH and LMWH and adaptation of the dosage.</w:t>
            </w:r>
          </w:p>
        </w:tc>
        <w:tc>
          <w:tcPr>
            <w:tcW w:w="1710" w:type="dxa"/>
            <w:noWrap/>
            <w:hideMark/>
          </w:tcPr>
          <w:p w14:paraId="3763D247"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noWrap/>
            <w:hideMark/>
          </w:tcPr>
          <w:p w14:paraId="0B86CDA1"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077226" w:rsidRPr="00EA5BE0" w14:paraId="4E6AD2FB"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shd w:val="clear" w:color="auto" w:fill="0B2949" w:themeFill="accent1"/>
          </w:tcPr>
          <w:p w14:paraId="3A1F8B39" w14:textId="405CFF48" w:rsidR="00077226" w:rsidRPr="00EA5BE0" w:rsidRDefault="00077226" w:rsidP="00077226">
            <w:pPr>
              <w:pStyle w:val="TableRowHead"/>
            </w:pPr>
            <w:r w:rsidRPr="00F805E1">
              <w:t>Thoracic surgery</w:t>
            </w:r>
          </w:p>
        </w:tc>
        <w:tc>
          <w:tcPr>
            <w:tcW w:w="1710" w:type="dxa"/>
            <w:shd w:val="clear" w:color="auto" w:fill="0B2949" w:themeFill="accent1"/>
            <w:noWrap/>
          </w:tcPr>
          <w:p w14:paraId="672CDD40" w14:textId="77777777" w:rsidR="00077226" w:rsidRPr="00EA5BE0" w:rsidRDefault="00077226" w:rsidP="00077226">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noWrap/>
          </w:tcPr>
          <w:p w14:paraId="3F30CE65" w14:textId="77777777" w:rsidR="00077226" w:rsidRPr="00EA5BE0" w:rsidRDefault="00077226" w:rsidP="00077226">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EA5BE0" w:rsidRPr="00EA5BE0" w14:paraId="1B7F959F"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4B32C57A" w14:textId="77777777" w:rsidR="00EA5BE0" w:rsidRPr="00EA5BE0" w:rsidRDefault="00EA5BE0" w:rsidP="00077226">
            <w:pPr>
              <w:pStyle w:val="TableTextLeft"/>
            </w:pPr>
            <w:r w:rsidRPr="00EA5BE0">
              <w:t>Based on the current literature, patients undergoing thoracic surgery in the absence of cancer could be considered at low risk of VTE. However, as the vast majority of patients undergoing thoracic surgery have a diagnosis of primary or metastatic cancer, they should be considered at high risk for VTE with an equally high bleeding risk.</w:t>
            </w:r>
          </w:p>
        </w:tc>
        <w:tc>
          <w:tcPr>
            <w:tcW w:w="1710" w:type="dxa"/>
            <w:noWrap/>
            <w:hideMark/>
          </w:tcPr>
          <w:p w14:paraId="75CEA67E"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N/A</w:t>
            </w:r>
          </w:p>
        </w:tc>
        <w:tc>
          <w:tcPr>
            <w:tcW w:w="1170" w:type="dxa"/>
            <w:noWrap/>
            <w:hideMark/>
          </w:tcPr>
          <w:p w14:paraId="13D6336D"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N/A</w:t>
            </w:r>
          </w:p>
        </w:tc>
      </w:tr>
      <w:tr w:rsidR="00EA5BE0" w:rsidRPr="00EA5BE0" w14:paraId="24CED484"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089BB102" w14:textId="77777777" w:rsidR="00EA5BE0" w:rsidRPr="00EA5BE0" w:rsidRDefault="00EA5BE0" w:rsidP="00077226">
            <w:pPr>
              <w:pStyle w:val="TableTextLeft"/>
            </w:pPr>
            <w:r w:rsidRPr="00EA5BE0">
              <w:lastRenderedPageBreak/>
              <w:t>In the absence of evidence regarding patients undergoing minimally invasive procedure, the same risk stratification should be applied as described above.</w:t>
            </w:r>
          </w:p>
        </w:tc>
        <w:tc>
          <w:tcPr>
            <w:tcW w:w="1710" w:type="dxa"/>
            <w:noWrap/>
            <w:hideMark/>
          </w:tcPr>
          <w:p w14:paraId="57E24EB3"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N/A</w:t>
            </w:r>
          </w:p>
        </w:tc>
        <w:tc>
          <w:tcPr>
            <w:tcW w:w="1170" w:type="dxa"/>
            <w:noWrap/>
            <w:hideMark/>
          </w:tcPr>
          <w:p w14:paraId="1FF212FA"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N/A</w:t>
            </w:r>
          </w:p>
        </w:tc>
      </w:tr>
      <w:tr w:rsidR="00EA5BE0" w:rsidRPr="00EA5BE0" w14:paraId="4949D56A"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hideMark/>
          </w:tcPr>
          <w:p w14:paraId="2DBBA1AC" w14:textId="77777777" w:rsidR="00EA5BE0" w:rsidRPr="00EA5BE0" w:rsidRDefault="00EA5BE0" w:rsidP="00077226">
            <w:pPr>
              <w:pStyle w:val="TableTextLeft"/>
            </w:pPr>
            <w:r w:rsidRPr="00EA5BE0">
              <w:t xml:space="preserve">In low-risk patients, we suggest the use of mechanical prophylaxis using IPC. </w:t>
            </w:r>
          </w:p>
        </w:tc>
        <w:tc>
          <w:tcPr>
            <w:tcW w:w="1710" w:type="dxa"/>
            <w:hideMark/>
          </w:tcPr>
          <w:p w14:paraId="12361589"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3FE4D846"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4AA0454A"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10080" w:type="dxa"/>
            <w:noWrap/>
            <w:hideMark/>
          </w:tcPr>
          <w:p w14:paraId="308D1123" w14:textId="77777777" w:rsidR="00EA5BE0" w:rsidRPr="00EA5BE0" w:rsidRDefault="00EA5BE0" w:rsidP="00077226">
            <w:pPr>
              <w:pStyle w:val="TableTextLeft"/>
            </w:pPr>
            <w:r w:rsidRPr="00EA5BE0">
              <w:t>In high-risk patients, we suggest the use of pharmacological prophylaxis in addition to IPC.</w:t>
            </w:r>
          </w:p>
        </w:tc>
        <w:tc>
          <w:tcPr>
            <w:tcW w:w="1710" w:type="dxa"/>
            <w:noWrap/>
            <w:hideMark/>
          </w:tcPr>
          <w:p w14:paraId="2ED72616"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noWrap/>
            <w:hideMark/>
          </w:tcPr>
          <w:p w14:paraId="0EDCE094" w14:textId="77777777" w:rsidR="00EA5BE0" w:rsidRPr="00EA5BE0" w:rsidRDefault="00EA5BE0" w:rsidP="00F139F9">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bl>
    <w:p w14:paraId="477C71C4" w14:textId="422E92D1" w:rsidR="00801768" w:rsidRDefault="00801768" w:rsidP="00E35C94">
      <w:pPr>
        <w:pStyle w:val="H4"/>
        <w:rPr>
          <w:rFonts w:eastAsia="Times New Roman"/>
        </w:rPr>
      </w:pPr>
      <w:r>
        <w:rPr>
          <w:rFonts w:eastAsia="Times New Roman"/>
        </w:rPr>
        <w:t>4.4.1</w:t>
      </w:r>
      <w:r w:rsidR="00F139F9">
        <w:rPr>
          <w:rFonts w:eastAsia="Times New Roman"/>
        </w:rPr>
        <w:t>.</w:t>
      </w:r>
      <w:r w:rsidR="00F139F9">
        <w:rPr>
          <w:rFonts w:eastAsia="Times New Roman"/>
        </w:rPr>
        <w:tab/>
      </w:r>
      <w:r w:rsidR="00F60947">
        <w:rPr>
          <w:rFonts w:eastAsia="Times New Roman"/>
        </w:rPr>
        <w:t>ESA</w:t>
      </w:r>
      <w:r w:rsidR="00924C91" w:rsidRPr="00924C91">
        <w:rPr>
          <w:rFonts w:eastAsia="Times New Roman"/>
        </w:rPr>
        <w:t xml:space="preserve">: </w:t>
      </w:r>
      <w:r w:rsidR="001853B1">
        <w:rPr>
          <w:rFonts w:eastAsia="Times New Roman"/>
        </w:rPr>
        <w:t>First update</w:t>
      </w:r>
      <w:r w:rsidR="008F2F67">
        <w:rPr>
          <w:rFonts w:eastAsia="Times New Roman"/>
        </w:rPr>
        <w:t xml:space="preserve"> </w:t>
      </w:r>
      <w:r w:rsidR="008F2F67">
        <w:t>of cardiovascular and thoracic surgery</w:t>
      </w:r>
    </w:p>
    <w:p w14:paraId="5797C3F6" w14:textId="623F0A53" w:rsidR="00FB0706" w:rsidRPr="005721DD" w:rsidRDefault="005721DD" w:rsidP="00077226">
      <w:pPr>
        <w:pStyle w:val="Paragraph"/>
        <w:rPr>
          <w:rStyle w:val="Hyperlink"/>
        </w:rPr>
      </w:pPr>
      <w:r>
        <w:fldChar w:fldCharType="begin"/>
      </w:r>
      <w:r>
        <w:instrText>HYPERLINK "https://journals.lww.com/ejanaesthesiology/fulltext/2024/08000/european_guidelines_on_peri_operative_venous.3.aspx"</w:instrText>
      </w:r>
      <w:r>
        <w:fldChar w:fldCharType="separate"/>
      </w:r>
      <w:bookmarkStart w:id="24" w:name="_Hlk195520899"/>
      <w:r w:rsidR="00FB0706" w:rsidRPr="005721DD">
        <w:rPr>
          <w:rStyle w:val="Hyperlink"/>
        </w:rPr>
        <w:t>Samama, C. M., Afshari, A., Lars Grønlykke, Madsen, M. H., Wiberg, S., &amp; Romero, C. S. (2024). European guidelines on peri-operative venous thromboembolism prophylaxis: first update. European Journal of Anaesthesiology, 41(8), 561–569. https://doi.org/10.1097/eja.0000000000002025</w:t>
      </w:r>
    </w:p>
    <w:bookmarkEnd w:id="24"/>
    <w:p w14:paraId="7C60E03E" w14:textId="60D733EB" w:rsidR="00283BF0" w:rsidRPr="00283BF0" w:rsidRDefault="005721DD" w:rsidP="00077226">
      <w:pPr>
        <w:pStyle w:val="Paragraph"/>
      </w:pPr>
      <w:r>
        <w:fldChar w:fldCharType="end"/>
      </w:r>
      <w:r w:rsidR="00283BF0">
        <w:t>Updated</w:t>
      </w:r>
      <w:r w:rsidR="00283BF0" w:rsidRPr="00283BF0">
        <w:t xml:space="preserve"> guideline recommendations for patients undergoing cardiovascular and thoracic surgery are included in </w:t>
      </w:r>
      <w:r w:rsidR="00283BF0" w:rsidRPr="00283BF0">
        <w:rPr>
          <w:b/>
          <w:bCs/>
        </w:rPr>
        <w:t>Table 2</w:t>
      </w:r>
      <w:r w:rsidR="00583356">
        <w:rPr>
          <w:b/>
          <w:bCs/>
        </w:rPr>
        <w:t>6</w:t>
      </w:r>
      <w:r w:rsidR="00283BF0" w:rsidRPr="00283BF0">
        <w:t xml:space="preserve"> below.</w:t>
      </w:r>
    </w:p>
    <w:p w14:paraId="205FCD57" w14:textId="165D7190" w:rsidR="000F1C38" w:rsidRPr="00EA5BE0" w:rsidRDefault="00924C91" w:rsidP="00FB0706">
      <w:pPr>
        <w:pStyle w:val="TableTitle"/>
      </w:pPr>
      <w:r w:rsidRPr="00077226">
        <w:rPr>
          <w:b/>
          <w:bCs/>
        </w:rPr>
        <w:t>Table 2</w:t>
      </w:r>
      <w:r w:rsidR="00583356" w:rsidRPr="00077226">
        <w:rPr>
          <w:b/>
          <w:bCs/>
        </w:rPr>
        <w:t>6</w:t>
      </w:r>
      <w:r w:rsidR="00077226" w:rsidRPr="00077226">
        <w:rPr>
          <w:b/>
          <w:bCs/>
        </w:rPr>
        <w:t>.</w:t>
      </w:r>
      <w:r w:rsidRPr="00077226">
        <w:rPr>
          <w:b/>
          <w:bCs/>
        </w:rPr>
        <w:t xml:space="preserve"> </w:t>
      </w:r>
      <w:r w:rsidRPr="00EA5BE0">
        <w:t>ESA (20</w:t>
      </w:r>
      <w:r w:rsidR="001853B1">
        <w:t>24</w:t>
      </w:r>
      <w:r w:rsidRPr="00EA5BE0">
        <w:t>)</w:t>
      </w:r>
      <w:r w:rsidR="00D37E2C">
        <w:t xml:space="preserve"> </w:t>
      </w:r>
      <w:r w:rsidR="008F2F67">
        <w:t xml:space="preserve">First update of cardiovascular and thoracic surgery </w:t>
      </w:r>
    </w:p>
    <w:tbl>
      <w:tblPr>
        <w:tblStyle w:val="AlternateTable"/>
        <w:tblW w:w="504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1"/>
        <w:gridCol w:w="1710"/>
        <w:gridCol w:w="1306"/>
      </w:tblGrid>
      <w:tr w:rsidR="000648A5" w:rsidRPr="00EA5BE0" w14:paraId="56105208" w14:textId="77777777" w:rsidTr="000648A5">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10071" w:type="dxa"/>
            <w:vAlign w:val="center"/>
            <w:hideMark/>
          </w:tcPr>
          <w:p w14:paraId="702BCFA1" w14:textId="77777777" w:rsidR="00924C91" w:rsidRPr="00EA5BE0" w:rsidRDefault="00924C91" w:rsidP="00324A99">
            <w:pPr>
              <w:pStyle w:val="TableHeaderLeft"/>
              <w:rPr>
                <w:b w:val="0"/>
              </w:rPr>
            </w:pPr>
            <w:r w:rsidRPr="00EA5BE0">
              <w:t>Verbatim Guideline</w:t>
            </w:r>
          </w:p>
        </w:tc>
        <w:tc>
          <w:tcPr>
            <w:tcW w:w="1710" w:type="dxa"/>
            <w:vAlign w:val="bottom"/>
            <w:hideMark/>
          </w:tcPr>
          <w:p w14:paraId="5BC95796" w14:textId="77777777" w:rsidR="00924C91" w:rsidRPr="00EA5BE0" w:rsidRDefault="00924C91" w:rsidP="00E31AC5">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306" w:type="dxa"/>
            <w:vAlign w:val="bottom"/>
            <w:hideMark/>
          </w:tcPr>
          <w:p w14:paraId="5631F852" w14:textId="77777777" w:rsidR="00924C91" w:rsidRPr="00EA5BE0" w:rsidRDefault="00924C91" w:rsidP="00E31AC5">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077226" w:rsidRPr="00EA5BE0" w14:paraId="12B1644F" w14:textId="77777777" w:rsidTr="000648A5">
        <w:trPr>
          <w:trHeight w:val="120"/>
        </w:trPr>
        <w:tc>
          <w:tcPr>
            <w:cnfStyle w:val="001000000000" w:firstRow="0" w:lastRow="0" w:firstColumn="1" w:lastColumn="0" w:oddVBand="0" w:evenVBand="0" w:oddHBand="0" w:evenHBand="0" w:firstRowFirstColumn="0" w:firstRowLastColumn="0" w:lastRowFirstColumn="0" w:lastRowLastColumn="0"/>
            <w:tcW w:w="10071" w:type="dxa"/>
            <w:tcBorders>
              <w:right w:val="none" w:sz="0" w:space="0" w:color="auto"/>
            </w:tcBorders>
            <w:shd w:val="clear" w:color="auto" w:fill="0B2949" w:themeFill="accent1"/>
          </w:tcPr>
          <w:p w14:paraId="77860E4F" w14:textId="18848797" w:rsidR="00077226" w:rsidRDefault="00077226" w:rsidP="00E31AC5">
            <w:pPr>
              <w:pStyle w:val="TableRowHead"/>
              <w:rPr>
                <w:color w:val="000000"/>
              </w:rPr>
            </w:pPr>
            <w:r w:rsidRPr="00F805E1">
              <w:t xml:space="preserve">Cardiac </w:t>
            </w:r>
            <w:r>
              <w:t>s</w:t>
            </w:r>
            <w:r w:rsidRPr="00F805E1">
              <w:t>urgery</w:t>
            </w:r>
          </w:p>
        </w:tc>
        <w:tc>
          <w:tcPr>
            <w:tcW w:w="1710" w:type="dxa"/>
            <w:shd w:val="clear" w:color="auto" w:fill="0B2949" w:themeFill="accent1"/>
          </w:tcPr>
          <w:p w14:paraId="6CDFDA51" w14:textId="77777777" w:rsidR="00077226" w:rsidRDefault="00077226" w:rsidP="00E31AC5">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306" w:type="dxa"/>
            <w:shd w:val="clear" w:color="auto" w:fill="0B2949" w:themeFill="accent1"/>
          </w:tcPr>
          <w:p w14:paraId="62C74BBC" w14:textId="77777777" w:rsidR="00077226" w:rsidRPr="00EA5BE0" w:rsidRDefault="00077226" w:rsidP="00E31AC5">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924C91" w:rsidRPr="00EA5BE0" w14:paraId="4BBD1927" w14:textId="77777777" w:rsidTr="000648A5">
        <w:trPr>
          <w:trHeight w:val="120"/>
        </w:trPr>
        <w:tc>
          <w:tcPr>
            <w:cnfStyle w:val="001000000000" w:firstRow="0" w:lastRow="0" w:firstColumn="1" w:lastColumn="0" w:oddVBand="0" w:evenVBand="0" w:oddHBand="0" w:evenHBand="0" w:firstRowFirstColumn="0" w:firstRowLastColumn="0" w:lastRowFirstColumn="0" w:lastRowLastColumn="0"/>
            <w:tcW w:w="10071" w:type="dxa"/>
            <w:tcBorders>
              <w:right w:val="none" w:sz="0" w:space="0" w:color="auto"/>
            </w:tcBorders>
            <w:hideMark/>
          </w:tcPr>
          <w:p w14:paraId="3EE8DA5F" w14:textId="26655320" w:rsidR="00924C91" w:rsidRPr="00EA5BE0" w:rsidRDefault="005F3A0D" w:rsidP="00E31AC5">
            <w:pPr>
              <w:pStyle w:val="TableTextLeft"/>
            </w:pPr>
            <w:r>
              <w:t xml:space="preserve">We </w:t>
            </w:r>
            <w:r w:rsidRPr="005F3A0D">
              <w:t xml:space="preserve">recommend early initiation (between 6 and 24 h) </w:t>
            </w:r>
            <w:proofErr w:type="spellStart"/>
            <w:r w:rsidRPr="005F3A0D">
              <w:t>postsurgery</w:t>
            </w:r>
            <w:proofErr w:type="spellEnd"/>
            <w:r w:rsidRPr="005F3A0D">
              <w:t xml:space="preserve"> of pharmacological VTE prophylaxis in the absence of significant bleeding risk</w:t>
            </w:r>
          </w:p>
        </w:tc>
        <w:tc>
          <w:tcPr>
            <w:tcW w:w="1710" w:type="dxa"/>
            <w:hideMark/>
          </w:tcPr>
          <w:p w14:paraId="060E4F79" w14:textId="0D2832F1" w:rsidR="00924C91" w:rsidRPr="00EA5BE0" w:rsidRDefault="009C2F87" w:rsidP="00F139F9">
            <w:pPr>
              <w:pStyle w:val="TableTextLeft"/>
              <w:cnfStyle w:val="000000000000" w:firstRow="0" w:lastRow="0" w:firstColumn="0" w:lastColumn="0" w:oddVBand="0" w:evenVBand="0" w:oddHBand="0" w:evenHBand="0" w:firstRowFirstColumn="0" w:firstRowLastColumn="0" w:lastRowFirstColumn="0" w:lastRowLastColumn="0"/>
            </w:pPr>
            <w:r>
              <w:t>1</w:t>
            </w:r>
          </w:p>
        </w:tc>
        <w:tc>
          <w:tcPr>
            <w:tcW w:w="1306" w:type="dxa"/>
            <w:hideMark/>
          </w:tcPr>
          <w:p w14:paraId="6E0B8A14" w14:textId="77777777" w:rsidR="00924C91" w:rsidRPr="00EA5BE0" w:rsidRDefault="00924C91" w:rsidP="00F139F9">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0648A5" w:rsidRPr="00EA5BE0" w14:paraId="3CCF6608" w14:textId="77777777" w:rsidTr="000648A5">
        <w:trPr>
          <w:trHeight w:val="120"/>
        </w:trPr>
        <w:tc>
          <w:tcPr>
            <w:cnfStyle w:val="001000000000" w:firstRow="0" w:lastRow="0" w:firstColumn="1" w:lastColumn="0" w:oddVBand="0" w:evenVBand="0" w:oddHBand="0" w:evenHBand="0" w:firstRowFirstColumn="0" w:firstRowLastColumn="0" w:lastRowFirstColumn="0" w:lastRowLastColumn="0"/>
            <w:tcW w:w="10071" w:type="dxa"/>
            <w:shd w:val="clear" w:color="auto" w:fill="0B2949" w:themeFill="accent1"/>
          </w:tcPr>
          <w:p w14:paraId="791CCEC5" w14:textId="4AD3EDBF" w:rsidR="000648A5" w:rsidRPr="00951FF8" w:rsidRDefault="000648A5" w:rsidP="00E31AC5">
            <w:pPr>
              <w:pStyle w:val="TableRowHead"/>
            </w:pPr>
            <w:r>
              <w:t>Vascular surgery</w:t>
            </w:r>
          </w:p>
        </w:tc>
        <w:tc>
          <w:tcPr>
            <w:tcW w:w="1710" w:type="dxa"/>
            <w:shd w:val="clear" w:color="auto" w:fill="0B2949" w:themeFill="accent1"/>
          </w:tcPr>
          <w:p w14:paraId="6135637C" w14:textId="77777777" w:rsidR="000648A5" w:rsidRPr="00951FF8" w:rsidRDefault="000648A5" w:rsidP="00E31AC5">
            <w:pPr>
              <w:pStyle w:val="TableRowHead"/>
              <w:cnfStyle w:val="000000000000" w:firstRow="0" w:lastRow="0" w:firstColumn="0" w:lastColumn="0" w:oddVBand="0" w:evenVBand="0" w:oddHBand="0" w:evenHBand="0" w:firstRowFirstColumn="0" w:firstRowLastColumn="0" w:lastRowFirstColumn="0" w:lastRowLastColumn="0"/>
            </w:pPr>
          </w:p>
        </w:tc>
        <w:tc>
          <w:tcPr>
            <w:tcW w:w="1306" w:type="dxa"/>
            <w:shd w:val="clear" w:color="auto" w:fill="0B2949" w:themeFill="accent1"/>
          </w:tcPr>
          <w:p w14:paraId="58367911" w14:textId="6114D1E3" w:rsidR="000648A5" w:rsidRPr="00951FF8" w:rsidRDefault="000648A5" w:rsidP="00E31AC5">
            <w:pPr>
              <w:pStyle w:val="TableRowHead"/>
              <w:cnfStyle w:val="000000000000" w:firstRow="0" w:lastRow="0" w:firstColumn="0" w:lastColumn="0" w:oddVBand="0" w:evenVBand="0" w:oddHBand="0" w:evenHBand="0" w:firstRowFirstColumn="0" w:firstRowLastColumn="0" w:lastRowFirstColumn="0" w:lastRowLastColumn="0"/>
            </w:pPr>
          </w:p>
        </w:tc>
      </w:tr>
      <w:tr w:rsidR="00A60FAB" w:rsidRPr="00EA5BE0" w14:paraId="44376BA0" w14:textId="40C0E954" w:rsidTr="000648A5">
        <w:trPr>
          <w:trHeight w:val="120"/>
        </w:trPr>
        <w:tc>
          <w:tcPr>
            <w:cnfStyle w:val="001000000000" w:firstRow="0" w:lastRow="0" w:firstColumn="1" w:lastColumn="0" w:oddVBand="0" w:evenVBand="0" w:oddHBand="0" w:evenHBand="0" w:firstRowFirstColumn="0" w:firstRowLastColumn="0" w:lastRowFirstColumn="0" w:lastRowLastColumn="0"/>
            <w:tcW w:w="10071" w:type="dxa"/>
            <w:tcBorders>
              <w:right w:val="none" w:sz="0" w:space="0" w:color="auto"/>
            </w:tcBorders>
          </w:tcPr>
          <w:p w14:paraId="43CA554E" w14:textId="72FCCAC6" w:rsidR="00A60FAB" w:rsidRPr="00951FF8" w:rsidRDefault="00951FF8" w:rsidP="00E31AC5">
            <w:pPr>
              <w:pStyle w:val="TableTextLeft"/>
            </w:pPr>
            <w:r w:rsidRPr="00951FF8">
              <w:t>We suggest early initiation (&lt;24 h) of pharmacological VTE prophylaxis should be considered in patients with an increased procedural risk, such as open TAAA, AAA repair and TEVAR, and in patients with increased VTE risk factors (Grade 2C). (91% Agreement)</w:t>
            </w:r>
          </w:p>
        </w:tc>
        <w:tc>
          <w:tcPr>
            <w:tcW w:w="1710" w:type="dxa"/>
          </w:tcPr>
          <w:p w14:paraId="2688D116" w14:textId="66FC11E0" w:rsidR="00A60FAB" w:rsidRPr="00951FF8" w:rsidRDefault="00951FF8" w:rsidP="0028058B">
            <w:pPr>
              <w:pStyle w:val="TableTextLeft"/>
              <w:cnfStyle w:val="000000000000" w:firstRow="0" w:lastRow="0" w:firstColumn="0" w:lastColumn="0" w:oddVBand="0" w:evenVBand="0" w:oddHBand="0" w:evenHBand="0" w:firstRowFirstColumn="0" w:firstRowLastColumn="0" w:lastRowFirstColumn="0" w:lastRowLastColumn="0"/>
            </w:pPr>
            <w:r w:rsidRPr="00951FF8">
              <w:t>2</w:t>
            </w:r>
          </w:p>
        </w:tc>
        <w:tc>
          <w:tcPr>
            <w:tcW w:w="1306" w:type="dxa"/>
          </w:tcPr>
          <w:p w14:paraId="43C41F05" w14:textId="6F46B9A1" w:rsidR="00A60FAB" w:rsidRPr="00951FF8" w:rsidRDefault="00951FF8" w:rsidP="0028058B">
            <w:pPr>
              <w:pStyle w:val="TableTextLeft"/>
              <w:cnfStyle w:val="000000000000" w:firstRow="0" w:lastRow="0" w:firstColumn="0" w:lastColumn="0" w:oddVBand="0" w:evenVBand="0" w:oddHBand="0" w:evenHBand="0" w:firstRowFirstColumn="0" w:firstRowLastColumn="0" w:lastRowFirstColumn="0" w:lastRowLastColumn="0"/>
            </w:pPr>
            <w:r w:rsidRPr="00951FF8">
              <w:t>C</w:t>
            </w:r>
          </w:p>
        </w:tc>
      </w:tr>
      <w:tr w:rsidR="004D7488" w:rsidRPr="00EA5BE0" w14:paraId="093E31C9" w14:textId="77777777" w:rsidTr="000648A5">
        <w:trPr>
          <w:trHeight w:val="120"/>
        </w:trPr>
        <w:tc>
          <w:tcPr>
            <w:cnfStyle w:val="001000000000" w:firstRow="0" w:lastRow="0" w:firstColumn="1" w:lastColumn="0" w:oddVBand="0" w:evenVBand="0" w:oddHBand="0" w:evenHBand="0" w:firstRowFirstColumn="0" w:firstRowLastColumn="0" w:lastRowFirstColumn="0" w:lastRowLastColumn="0"/>
            <w:tcW w:w="10071" w:type="dxa"/>
            <w:tcBorders>
              <w:right w:val="none" w:sz="0" w:space="0" w:color="auto"/>
            </w:tcBorders>
          </w:tcPr>
          <w:p w14:paraId="54378214" w14:textId="32D8BD45" w:rsidR="004D7488" w:rsidRPr="00951FF8" w:rsidRDefault="004D7488" w:rsidP="00E31AC5">
            <w:pPr>
              <w:pStyle w:val="TableTextLeft"/>
            </w:pPr>
            <w:r w:rsidRPr="004D7488">
              <w:t>We suggest LMWH should be considered as a first-line therapy over UFH in view of the increased risk of HIT in cardiac and vascular surgery</w:t>
            </w:r>
          </w:p>
        </w:tc>
        <w:tc>
          <w:tcPr>
            <w:tcW w:w="1710" w:type="dxa"/>
          </w:tcPr>
          <w:p w14:paraId="708609D0" w14:textId="3FE1CBD2" w:rsidR="004D7488" w:rsidRPr="00951FF8" w:rsidRDefault="004D7488" w:rsidP="0028058B">
            <w:pPr>
              <w:pStyle w:val="TableTextLeft"/>
              <w:cnfStyle w:val="000000000000" w:firstRow="0" w:lastRow="0" w:firstColumn="0" w:lastColumn="0" w:oddVBand="0" w:evenVBand="0" w:oddHBand="0" w:evenHBand="0" w:firstRowFirstColumn="0" w:firstRowLastColumn="0" w:lastRowFirstColumn="0" w:lastRowLastColumn="0"/>
            </w:pPr>
            <w:r>
              <w:t>2</w:t>
            </w:r>
          </w:p>
        </w:tc>
        <w:tc>
          <w:tcPr>
            <w:tcW w:w="1306" w:type="dxa"/>
          </w:tcPr>
          <w:p w14:paraId="61335484" w14:textId="54550344" w:rsidR="004D7488" w:rsidRPr="00951FF8" w:rsidRDefault="004D7488" w:rsidP="0028058B">
            <w:pPr>
              <w:pStyle w:val="TableTextLeft"/>
              <w:cnfStyle w:val="000000000000" w:firstRow="0" w:lastRow="0" w:firstColumn="0" w:lastColumn="0" w:oddVBand="0" w:evenVBand="0" w:oddHBand="0" w:evenHBand="0" w:firstRowFirstColumn="0" w:firstRowLastColumn="0" w:lastRowFirstColumn="0" w:lastRowLastColumn="0"/>
            </w:pPr>
            <w:r>
              <w:t>B</w:t>
            </w:r>
          </w:p>
        </w:tc>
      </w:tr>
    </w:tbl>
    <w:p w14:paraId="018EF237" w14:textId="3C02507E" w:rsidR="00EA5BE0" w:rsidRPr="00EA5BE0" w:rsidRDefault="00EA5BE0" w:rsidP="00BA5993">
      <w:pPr>
        <w:pStyle w:val="H3"/>
        <w:rPr>
          <w:rFonts w:eastAsia="Times New Roman"/>
          <w:strike/>
        </w:rPr>
      </w:pPr>
      <w:bookmarkStart w:id="25" w:name="_Toc195287990"/>
      <w:r w:rsidRPr="00EA5BE0">
        <w:rPr>
          <w:rFonts w:eastAsia="Times New Roman"/>
        </w:rPr>
        <w:t>4.5</w:t>
      </w:r>
      <w:r w:rsidR="00E35C94">
        <w:rPr>
          <w:rFonts w:eastAsia="Times New Roman"/>
        </w:rPr>
        <w:t>.</w:t>
      </w:r>
      <w:r w:rsidR="00E35C94">
        <w:rPr>
          <w:rFonts w:eastAsia="Times New Roman"/>
        </w:rPr>
        <w:tab/>
      </w:r>
      <w:r w:rsidR="00F60947">
        <w:rPr>
          <w:rFonts w:eastAsia="Times New Roman"/>
        </w:rPr>
        <w:t>ESA</w:t>
      </w:r>
      <w:r w:rsidRPr="00EA5BE0">
        <w:rPr>
          <w:rFonts w:eastAsia="Times New Roman"/>
        </w:rPr>
        <w:t>: Neurosurgery</w:t>
      </w:r>
      <w:bookmarkEnd w:id="25"/>
    </w:p>
    <w:p w14:paraId="63EEE2A6" w14:textId="12D7ECBD" w:rsidR="00EA5BE0" w:rsidRPr="00F76AF9" w:rsidRDefault="00F76AF9" w:rsidP="00D14153">
      <w:pPr>
        <w:pStyle w:val="Paragraph"/>
        <w:rPr>
          <w:rStyle w:val="Hyperlink"/>
          <w:rFonts w:eastAsia="Times New Roman" w:cstheme="minorHAnsi"/>
          <w:szCs w:val="20"/>
        </w:rPr>
      </w:pPr>
      <w:r w:rsidRPr="00F76AF9">
        <w:rPr>
          <w:rFonts w:eastAsia="Times New Roman" w:cstheme="minorHAnsi"/>
          <w:color w:val="00507F"/>
          <w:szCs w:val="20"/>
          <w:u w:val="single"/>
        </w:rPr>
        <w:fldChar w:fldCharType="begin"/>
      </w:r>
      <w:r w:rsidRPr="00F76AF9">
        <w:rPr>
          <w:rFonts w:eastAsia="Times New Roman" w:cstheme="minorHAnsi"/>
          <w:color w:val="00507F"/>
          <w:szCs w:val="20"/>
          <w:u w:val="single"/>
        </w:rPr>
        <w:instrText>HYPERLINK "https://journals.lww.com/ejanaesthesiology/fulltext/2018/02000/european_guidelines_on_perioperative_venous.4.aspx"</w:instrText>
      </w:r>
      <w:r w:rsidRPr="00F76AF9">
        <w:rPr>
          <w:rFonts w:eastAsia="Times New Roman" w:cstheme="minorHAnsi"/>
          <w:color w:val="00507F"/>
          <w:szCs w:val="20"/>
          <w:u w:val="single"/>
        </w:rPr>
      </w:r>
      <w:r w:rsidRPr="00F76AF9">
        <w:rPr>
          <w:rFonts w:eastAsia="Times New Roman" w:cstheme="minorHAnsi"/>
          <w:color w:val="00507F"/>
          <w:szCs w:val="20"/>
          <w:u w:val="single"/>
        </w:rPr>
        <w:fldChar w:fldCharType="separate"/>
      </w:r>
      <w:r w:rsidR="00EA5BE0" w:rsidRPr="00F76AF9">
        <w:rPr>
          <w:rStyle w:val="Hyperlink"/>
          <w:rFonts w:eastAsia="Times New Roman" w:cstheme="minorHAnsi"/>
          <w:szCs w:val="20"/>
        </w:rPr>
        <w:t xml:space="preserve">Faraoni, D., Comes, R. F., Geerts, W., &amp; Wiles, M. D. (2018). European guidelines on perioperative venous thromboembolism prophylaxis: Neurosurgery. </w:t>
      </w:r>
      <w:r w:rsidR="00EA5BE0" w:rsidRPr="00F76AF9">
        <w:rPr>
          <w:rStyle w:val="Hyperlink"/>
          <w:rFonts w:eastAsia="Times New Roman" w:cstheme="minorHAnsi"/>
          <w:i/>
          <w:iCs/>
          <w:szCs w:val="20"/>
        </w:rPr>
        <w:t>European Journal of Anaesthesiology</w:t>
      </w:r>
      <w:r w:rsidR="00EA5BE0" w:rsidRPr="00F76AF9">
        <w:rPr>
          <w:rStyle w:val="Hyperlink"/>
          <w:rFonts w:eastAsia="Times New Roman" w:cstheme="minorHAnsi"/>
          <w:szCs w:val="20"/>
        </w:rPr>
        <w:t xml:space="preserve">, </w:t>
      </w:r>
      <w:r w:rsidR="00EA5BE0" w:rsidRPr="00F76AF9">
        <w:rPr>
          <w:rStyle w:val="Hyperlink"/>
          <w:rFonts w:eastAsia="Times New Roman" w:cstheme="minorHAnsi"/>
          <w:i/>
          <w:iCs/>
          <w:szCs w:val="20"/>
        </w:rPr>
        <w:t>35</w:t>
      </w:r>
      <w:r w:rsidR="00EA5BE0" w:rsidRPr="00F76AF9">
        <w:rPr>
          <w:rStyle w:val="Hyperlink"/>
          <w:rFonts w:eastAsia="Times New Roman" w:cstheme="minorHAnsi"/>
          <w:szCs w:val="20"/>
        </w:rPr>
        <w:t>(2), 90–95. https://doi.org/10.1097/EJA.0000000000000710</w:t>
      </w:r>
    </w:p>
    <w:p w14:paraId="5E79DCC3" w14:textId="7DAED27C" w:rsidR="00EA5BE0" w:rsidRPr="008B423B" w:rsidRDefault="00F76AF9" w:rsidP="00D14153">
      <w:pPr>
        <w:pStyle w:val="Paragraph"/>
      </w:pPr>
      <w:r w:rsidRPr="00F76AF9">
        <w:rPr>
          <w:rFonts w:eastAsia="Times New Roman" w:cstheme="minorHAnsi"/>
          <w:color w:val="00507F"/>
          <w:szCs w:val="20"/>
          <w:u w:val="single"/>
        </w:rPr>
        <w:fldChar w:fldCharType="end"/>
      </w:r>
      <w:r w:rsidR="00EA5BE0" w:rsidRPr="008B423B">
        <w:t xml:space="preserve">Key guideline recommendations for patients undergoing neurosurgery are included in </w:t>
      </w:r>
      <w:r w:rsidR="00EA5BE0" w:rsidRPr="008B423B">
        <w:rPr>
          <w:b/>
          <w:bCs/>
        </w:rPr>
        <w:t>Table 2</w:t>
      </w:r>
      <w:r w:rsidR="00583356">
        <w:rPr>
          <w:b/>
          <w:bCs/>
        </w:rPr>
        <w:t>7</w:t>
      </w:r>
      <w:r w:rsidR="00EA5BE0" w:rsidRPr="008B423B">
        <w:rPr>
          <w:b/>
          <w:bCs/>
        </w:rPr>
        <w:t xml:space="preserve"> </w:t>
      </w:r>
      <w:r w:rsidR="00EA5BE0" w:rsidRPr="008B423B">
        <w:t>below.</w:t>
      </w:r>
    </w:p>
    <w:p w14:paraId="0416FDB5" w14:textId="42682A3E" w:rsidR="00EA5BE0" w:rsidRPr="00EA5BE0" w:rsidRDefault="00EA5BE0" w:rsidP="00F805E1">
      <w:pPr>
        <w:pStyle w:val="TableTitle"/>
      </w:pPr>
      <w:r w:rsidRPr="00EA4531">
        <w:rPr>
          <w:b/>
          <w:bCs/>
        </w:rPr>
        <w:lastRenderedPageBreak/>
        <w:t>Table 2</w:t>
      </w:r>
      <w:r w:rsidR="00583356" w:rsidRPr="00EA4531">
        <w:rPr>
          <w:b/>
          <w:bCs/>
        </w:rPr>
        <w:t>7</w:t>
      </w:r>
      <w:r w:rsidR="00EA4531">
        <w:rPr>
          <w:b/>
          <w:bCs/>
        </w:rPr>
        <w:t>.</w:t>
      </w:r>
      <w:r w:rsidRPr="00EA4531">
        <w:rPr>
          <w:b/>
          <w:bCs/>
        </w:rPr>
        <w:t xml:space="preserve"> </w:t>
      </w:r>
      <w:r w:rsidRPr="00EA5BE0">
        <w:t>ESA (2018)</w:t>
      </w:r>
      <w:r w:rsidR="00D37E2C">
        <w:t xml:space="preserve"> </w:t>
      </w:r>
      <w:r w:rsidR="00273BCD">
        <w:t>Guidelines that support neurosurgery</w:t>
      </w:r>
    </w:p>
    <w:tbl>
      <w:tblPr>
        <w:tblStyle w:val="AlternateTable"/>
        <w:tblW w:w="5000" w:type="pct"/>
        <w:tblLook w:val="04A0" w:firstRow="1" w:lastRow="0" w:firstColumn="1" w:lastColumn="0" w:noHBand="0" w:noVBand="1"/>
      </w:tblPr>
      <w:tblGrid>
        <w:gridCol w:w="9990"/>
        <w:gridCol w:w="1800"/>
        <w:gridCol w:w="1170"/>
      </w:tblGrid>
      <w:tr w:rsidR="00EA5BE0" w:rsidRPr="00EA5BE0" w14:paraId="5E27586B" w14:textId="77777777" w:rsidTr="00F139F9">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9990" w:type="dxa"/>
            <w:vAlign w:val="bottom"/>
            <w:hideMark/>
          </w:tcPr>
          <w:p w14:paraId="010FCC91" w14:textId="77777777" w:rsidR="00EA5BE0" w:rsidRPr="00EA5BE0" w:rsidRDefault="00EA5BE0" w:rsidP="00D14153">
            <w:pPr>
              <w:pStyle w:val="TableHeaderLeft"/>
              <w:rPr>
                <w:b w:val="0"/>
              </w:rPr>
            </w:pPr>
            <w:r w:rsidRPr="00EA5BE0">
              <w:t>Verbatim Guideline</w:t>
            </w:r>
          </w:p>
        </w:tc>
        <w:tc>
          <w:tcPr>
            <w:tcW w:w="1800" w:type="dxa"/>
            <w:vAlign w:val="bottom"/>
            <w:hideMark/>
          </w:tcPr>
          <w:p w14:paraId="562798E9" w14:textId="77777777" w:rsidR="00EA5BE0" w:rsidRPr="00EA5BE0" w:rsidRDefault="00EA5BE0" w:rsidP="00D14153">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170" w:type="dxa"/>
            <w:vAlign w:val="bottom"/>
            <w:hideMark/>
          </w:tcPr>
          <w:p w14:paraId="4822125D" w14:textId="77777777" w:rsidR="00EA5BE0" w:rsidRPr="00EA5BE0" w:rsidRDefault="00EA5BE0" w:rsidP="00D14153">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D14153" w:rsidRPr="00EA5BE0" w14:paraId="044FA2BE"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shd w:val="clear" w:color="auto" w:fill="0B2949" w:themeFill="accent1"/>
          </w:tcPr>
          <w:p w14:paraId="53DBC891" w14:textId="428548B7" w:rsidR="00D14153" w:rsidRPr="00EA5BE0" w:rsidRDefault="00D14153" w:rsidP="00D14153">
            <w:pPr>
              <w:pStyle w:val="TableRowHead"/>
              <w:rPr>
                <w:color w:val="000000"/>
              </w:rPr>
            </w:pPr>
            <w:r w:rsidRPr="00F805E1">
              <w:t>Patients undergoing craniotomy</w:t>
            </w:r>
          </w:p>
        </w:tc>
        <w:tc>
          <w:tcPr>
            <w:tcW w:w="1800" w:type="dxa"/>
            <w:shd w:val="clear" w:color="auto" w:fill="0B2949" w:themeFill="accent1"/>
          </w:tcPr>
          <w:p w14:paraId="31AA45F5" w14:textId="77777777" w:rsidR="00D14153" w:rsidRPr="00EA5BE0" w:rsidRDefault="00D14153" w:rsidP="00D14153">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tcPr>
          <w:p w14:paraId="6C4A9554" w14:textId="77777777" w:rsidR="00D14153" w:rsidRPr="00EA5BE0" w:rsidRDefault="00D14153" w:rsidP="00D14153">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D14153" w:rsidRPr="00EA5BE0" w14:paraId="08EC3CC2"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263AEAB4" w14:textId="77777777" w:rsidR="00D14153" w:rsidRPr="00EA5BE0" w:rsidRDefault="00D14153" w:rsidP="00D14153">
            <w:pPr>
              <w:pStyle w:val="TableTextLeft"/>
            </w:pPr>
            <w:r w:rsidRPr="00EA5BE0">
              <w:t xml:space="preserve">We recommend that if IPC is used, it should be applied before the surgical procedure or on admission, used continuously (except when the patient is actually walking) and monitored frequently to </w:t>
            </w:r>
            <w:proofErr w:type="spellStart"/>
            <w:r w:rsidRPr="00EA5BE0">
              <w:t>optimise</w:t>
            </w:r>
            <w:proofErr w:type="spellEnd"/>
            <w:r w:rsidRPr="00EA5BE0">
              <w:t xml:space="preserve"> compliance.</w:t>
            </w:r>
          </w:p>
        </w:tc>
        <w:tc>
          <w:tcPr>
            <w:tcW w:w="1800" w:type="dxa"/>
            <w:hideMark/>
          </w:tcPr>
          <w:p w14:paraId="3D4ACBF0"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797E9A23"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2648080F"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69E3A4AF" w14:textId="77777777" w:rsidR="00D14153" w:rsidRPr="00EA5BE0" w:rsidRDefault="00D14153" w:rsidP="00D14153">
            <w:pPr>
              <w:pStyle w:val="TableTextLeft"/>
            </w:pPr>
            <w:r w:rsidRPr="00EA5BE0">
              <w:t>If LMWH or low-dose unfractionated heparin (LDUH) are used, we suggest delayed initiation until at least 24 h after surgery.</w:t>
            </w:r>
          </w:p>
        </w:tc>
        <w:tc>
          <w:tcPr>
            <w:tcW w:w="1800" w:type="dxa"/>
            <w:hideMark/>
          </w:tcPr>
          <w:p w14:paraId="5D31AEFB"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5612B21E"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1EF45133"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3469F527" w14:textId="77777777" w:rsidR="00D14153" w:rsidRPr="00EA5BE0" w:rsidRDefault="00D14153" w:rsidP="00D14153">
            <w:pPr>
              <w:pStyle w:val="TableTextLeft"/>
            </w:pPr>
            <w:r w:rsidRPr="00EA5BE0">
              <w:t>In craniotomy patients at particularly high risk of VTE (additional risk factors including malignancy, motor impairment, prolonged operative time), we suggest considering the initiation of mechanical thromboprophylaxis with IPC preoperatively with addition of LMWH or LDUH postoperatively when the risk of bleeding is presumed to be decreased.</w:t>
            </w:r>
          </w:p>
        </w:tc>
        <w:tc>
          <w:tcPr>
            <w:tcW w:w="1800" w:type="dxa"/>
            <w:hideMark/>
          </w:tcPr>
          <w:p w14:paraId="5FEE9A81"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5FAA2FB0"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5C1CB0EF"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1DDBD856" w14:textId="77777777" w:rsidR="00D14153" w:rsidRPr="00EA5BE0" w:rsidRDefault="00D14153" w:rsidP="00D14153">
            <w:pPr>
              <w:pStyle w:val="TableTextLeft"/>
            </w:pPr>
            <w:r w:rsidRPr="00EA5BE0">
              <w:t>We suggest that thromboprophylaxis should be continued until discharge.</w:t>
            </w:r>
          </w:p>
        </w:tc>
        <w:tc>
          <w:tcPr>
            <w:tcW w:w="1800" w:type="dxa"/>
            <w:hideMark/>
          </w:tcPr>
          <w:p w14:paraId="160727AC"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2B89AF74"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115D53ED"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shd w:val="clear" w:color="auto" w:fill="0B2949" w:themeFill="accent1"/>
          </w:tcPr>
          <w:p w14:paraId="0EBAD48C" w14:textId="077133AF" w:rsidR="00D14153" w:rsidRPr="00EA5BE0" w:rsidRDefault="00D14153" w:rsidP="00D14153">
            <w:pPr>
              <w:pStyle w:val="TableRowHead"/>
              <w:rPr>
                <w:color w:val="000000"/>
              </w:rPr>
            </w:pPr>
            <w:r w:rsidRPr="00CC442B">
              <w:t xml:space="preserve">Patients with non-traumatic intracranial </w:t>
            </w:r>
            <w:proofErr w:type="spellStart"/>
            <w:r w:rsidRPr="00CC442B">
              <w:t>haemorrhage</w:t>
            </w:r>
            <w:proofErr w:type="spellEnd"/>
          </w:p>
        </w:tc>
        <w:tc>
          <w:tcPr>
            <w:tcW w:w="1800" w:type="dxa"/>
            <w:shd w:val="clear" w:color="auto" w:fill="0B2949" w:themeFill="accent1"/>
          </w:tcPr>
          <w:p w14:paraId="3078A7B2" w14:textId="77777777" w:rsidR="00D14153" w:rsidRPr="00EA5BE0" w:rsidRDefault="00D14153" w:rsidP="00D14153">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tcPr>
          <w:p w14:paraId="1FC63148" w14:textId="77777777" w:rsidR="00D14153" w:rsidRPr="00EA5BE0" w:rsidRDefault="00D14153" w:rsidP="00D14153">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D14153" w:rsidRPr="00EA5BE0" w14:paraId="53B530E5"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56C8BD31" w14:textId="77777777" w:rsidR="00D14153" w:rsidRPr="00EA5BE0" w:rsidRDefault="00D14153" w:rsidP="00D14153">
            <w:pPr>
              <w:pStyle w:val="TableTextLeft"/>
            </w:pPr>
            <w:r w:rsidRPr="00EA5BE0">
              <w:t>We suggest thromboprophylaxis with IPC.</w:t>
            </w:r>
          </w:p>
        </w:tc>
        <w:tc>
          <w:tcPr>
            <w:tcW w:w="1800" w:type="dxa"/>
            <w:hideMark/>
          </w:tcPr>
          <w:p w14:paraId="6E0EEBA5"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4D7319E4"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6E26DCB0"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69219EB3" w14:textId="77777777" w:rsidR="00D14153" w:rsidRPr="00EA5BE0" w:rsidRDefault="00D14153" w:rsidP="00D14153">
            <w:pPr>
              <w:pStyle w:val="TableTextLeft"/>
            </w:pPr>
            <w:r w:rsidRPr="00EA5BE0">
              <w:t xml:space="preserve">We recommend the application of IPC on admission, used continuously (except when the patient is actually walking) and monitored frequently to </w:t>
            </w:r>
            <w:proofErr w:type="spellStart"/>
            <w:r w:rsidRPr="00EA5BE0">
              <w:t>optimise</w:t>
            </w:r>
            <w:proofErr w:type="spellEnd"/>
            <w:r w:rsidRPr="00EA5BE0">
              <w:t xml:space="preserve"> compliance.</w:t>
            </w:r>
          </w:p>
        </w:tc>
        <w:tc>
          <w:tcPr>
            <w:tcW w:w="1800" w:type="dxa"/>
            <w:hideMark/>
          </w:tcPr>
          <w:p w14:paraId="49D22D3E"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1F1E72CD"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0289764C"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63ED514F" w14:textId="77777777" w:rsidR="00D14153" w:rsidRPr="00EA5BE0" w:rsidRDefault="00D14153" w:rsidP="00D14153">
            <w:pPr>
              <w:pStyle w:val="TableTextLeft"/>
            </w:pPr>
            <w:r w:rsidRPr="00EA5BE0">
              <w:t>For patients who have had non-traumatic ICH, we suggest giving consideration to commencement of LMWH or LDUH when the risk of bleeding is presumed to be low.</w:t>
            </w:r>
          </w:p>
        </w:tc>
        <w:tc>
          <w:tcPr>
            <w:tcW w:w="1800" w:type="dxa"/>
            <w:hideMark/>
          </w:tcPr>
          <w:p w14:paraId="225529D4"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38327399"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5B929C59"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6E8C008C" w14:textId="77777777" w:rsidR="00D14153" w:rsidRPr="00EA5BE0" w:rsidRDefault="00D14153" w:rsidP="00D14153">
            <w:pPr>
              <w:pStyle w:val="TableTextLeft"/>
            </w:pPr>
            <w:r w:rsidRPr="00EA5BE0">
              <w:t xml:space="preserve">We suggest continuing thromboprophylaxis until full </w:t>
            </w:r>
            <w:proofErr w:type="spellStart"/>
            <w:r w:rsidRPr="00EA5BE0">
              <w:t>mobilisation</w:t>
            </w:r>
            <w:proofErr w:type="spellEnd"/>
            <w:r w:rsidRPr="00EA5BE0">
              <w:t xml:space="preserve"> of the patient.</w:t>
            </w:r>
          </w:p>
        </w:tc>
        <w:tc>
          <w:tcPr>
            <w:tcW w:w="1800" w:type="dxa"/>
            <w:hideMark/>
          </w:tcPr>
          <w:p w14:paraId="0BFDEAE2"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2728996C"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2F370D29"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shd w:val="clear" w:color="auto" w:fill="0B2949" w:themeFill="accent1"/>
          </w:tcPr>
          <w:p w14:paraId="61ADBCB6" w14:textId="089CD496" w:rsidR="00D14153" w:rsidRPr="00EA5BE0" w:rsidRDefault="00D14153" w:rsidP="00D14153">
            <w:pPr>
              <w:pStyle w:val="TableRowHead"/>
              <w:rPr>
                <w:color w:val="000000"/>
              </w:rPr>
            </w:pPr>
            <w:r w:rsidRPr="00F60947">
              <w:t>Spinal surgery</w:t>
            </w:r>
          </w:p>
        </w:tc>
        <w:tc>
          <w:tcPr>
            <w:tcW w:w="1800" w:type="dxa"/>
            <w:shd w:val="clear" w:color="auto" w:fill="0B2949" w:themeFill="accent1"/>
          </w:tcPr>
          <w:p w14:paraId="612D6D61" w14:textId="77777777" w:rsidR="00D14153" w:rsidRPr="00EA5BE0" w:rsidRDefault="00D14153" w:rsidP="00D14153">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tcPr>
          <w:p w14:paraId="26CA0538" w14:textId="77777777" w:rsidR="00D14153" w:rsidRPr="00EA5BE0" w:rsidRDefault="00D14153" w:rsidP="00D14153">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D14153" w:rsidRPr="00EA5BE0" w14:paraId="7295A48C"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0D56F550" w14:textId="77777777" w:rsidR="00D14153" w:rsidRPr="00EA5BE0" w:rsidRDefault="00D14153" w:rsidP="00D14153">
            <w:pPr>
              <w:pStyle w:val="TableTextLeft"/>
            </w:pPr>
            <w:r w:rsidRPr="00EA5BE0">
              <w:t xml:space="preserve">For patients with no additional risk factors, we suggest no active thromboprophylaxis intervention apart from early </w:t>
            </w:r>
            <w:proofErr w:type="spellStart"/>
            <w:r w:rsidRPr="00EA5BE0">
              <w:t>mobilisation</w:t>
            </w:r>
            <w:proofErr w:type="spellEnd"/>
            <w:r w:rsidRPr="00EA5BE0">
              <w:t>.</w:t>
            </w:r>
          </w:p>
        </w:tc>
        <w:tc>
          <w:tcPr>
            <w:tcW w:w="1800" w:type="dxa"/>
            <w:hideMark/>
          </w:tcPr>
          <w:p w14:paraId="5C0DA7B9"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12E83DC0"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70C6743F"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71D678BB" w14:textId="77777777" w:rsidR="00D14153" w:rsidRPr="00EA5BE0" w:rsidRDefault="00D14153" w:rsidP="00D14153">
            <w:pPr>
              <w:pStyle w:val="TableTextLeft"/>
            </w:pPr>
            <w:r w:rsidRPr="00EA5BE0">
              <w:t>For patients undergoing spinal surgery with additional risk factors (limited mobility, active cancer, complex surgical procedure), we recommend starting mechanical thromboprophylaxis with IPC preoperatively</w:t>
            </w:r>
          </w:p>
        </w:tc>
        <w:tc>
          <w:tcPr>
            <w:tcW w:w="1800" w:type="dxa"/>
            <w:hideMark/>
          </w:tcPr>
          <w:p w14:paraId="4BE29119"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4DE54CF7"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5031FB96"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086690E6" w14:textId="77777777" w:rsidR="00D14153" w:rsidRPr="00EA5BE0" w:rsidRDefault="00D14153" w:rsidP="00D14153">
            <w:pPr>
              <w:pStyle w:val="TableTextLeft"/>
            </w:pPr>
            <w:r w:rsidRPr="00EA5BE0">
              <w:t>and we suggest the addition of LMWH postoperatively when the risk of bleeding is presumed to be decreased.</w:t>
            </w:r>
          </w:p>
        </w:tc>
        <w:tc>
          <w:tcPr>
            <w:tcW w:w="1800" w:type="dxa"/>
            <w:hideMark/>
          </w:tcPr>
          <w:p w14:paraId="61D16C58"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3A364CED"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7C836DC0"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288D7B04" w14:textId="77777777" w:rsidR="00D14153" w:rsidRPr="00EA5BE0" w:rsidRDefault="00D14153" w:rsidP="00D14153">
            <w:pPr>
              <w:pStyle w:val="TableTextLeft"/>
            </w:pPr>
            <w:r w:rsidRPr="00EA5BE0">
              <w:t xml:space="preserve">If LMWH is used, we recommend delayed initiation at least until 24 h after surgery and only when </w:t>
            </w:r>
            <w:proofErr w:type="spellStart"/>
            <w:r w:rsidRPr="00EA5BE0">
              <w:t>haemostasis</w:t>
            </w:r>
            <w:proofErr w:type="spellEnd"/>
            <w:r w:rsidRPr="00EA5BE0">
              <w:t xml:space="preserve"> occurs.</w:t>
            </w:r>
          </w:p>
        </w:tc>
        <w:tc>
          <w:tcPr>
            <w:tcW w:w="1800" w:type="dxa"/>
            <w:hideMark/>
          </w:tcPr>
          <w:p w14:paraId="56B513E8"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7BC981BF"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0659EE03"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59165835" w14:textId="77777777" w:rsidR="00D14153" w:rsidRPr="00EA5BE0" w:rsidRDefault="00D14153" w:rsidP="00D14153">
            <w:pPr>
              <w:pStyle w:val="TableTextLeft"/>
            </w:pPr>
            <w:r w:rsidRPr="00EA5BE0">
              <w:t>We suggest continued thromboprophylaxis until discharge in high-risk patients.</w:t>
            </w:r>
          </w:p>
        </w:tc>
        <w:tc>
          <w:tcPr>
            <w:tcW w:w="1800" w:type="dxa"/>
            <w:hideMark/>
          </w:tcPr>
          <w:p w14:paraId="4942D407"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23CCE42A"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D14153" w:rsidRPr="00EA5BE0" w14:paraId="35A5387F" w14:textId="77777777" w:rsidTr="00F139F9">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430C98E5" w14:textId="77777777" w:rsidR="00D14153" w:rsidRPr="00EA5BE0" w:rsidRDefault="00D14153" w:rsidP="00D14153">
            <w:pPr>
              <w:pStyle w:val="TableTextLeft"/>
            </w:pPr>
            <w:r w:rsidRPr="00EA5BE0">
              <w:t>In patients with spinal cord injury or significant motor impairment, we suggest extending the thromboprophylaxis into the rehabilitation phase of hospital care.</w:t>
            </w:r>
          </w:p>
        </w:tc>
        <w:tc>
          <w:tcPr>
            <w:tcW w:w="1800" w:type="dxa"/>
            <w:hideMark/>
          </w:tcPr>
          <w:p w14:paraId="55525EAF"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54074314" w14:textId="77777777" w:rsidR="00D14153" w:rsidRPr="00EA5BE0" w:rsidRDefault="00D14153"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bl>
    <w:p w14:paraId="315B38F5" w14:textId="77777777" w:rsidR="0028058B" w:rsidRPr="0028058B" w:rsidRDefault="0028058B" w:rsidP="0028058B"/>
    <w:p w14:paraId="37CAA08C" w14:textId="77777777" w:rsidR="0028058B" w:rsidRDefault="0028058B">
      <w:pPr>
        <w:spacing w:after="160" w:line="259" w:lineRule="auto"/>
        <w:rPr>
          <w:rFonts w:eastAsia="Times New Roman" w:cstheme="majorBidi"/>
          <w:b/>
          <w:color w:val="000000" w:themeColor="text1"/>
          <w:szCs w:val="32"/>
        </w:rPr>
      </w:pPr>
      <w:r>
        <w:rPr>
          <w:rFonts w:eastAsia="Times New Roman"/>
        </w:rPr>
        <w:br w:type="page"/>
      </w:r>
    </w:p>
    <w:p w14:paraId="1649C2E6" w14:textId="13A4E3FA" w:rsidR="00BE4EE6" w:rsidRPr="00BE4EE6" w:rsidRDefault="007E52BF" w:rsidP="00E35C94">
      <w:pPr>
        <w:pStyle w:val="H4"/>
        <w:rPr>
          <w:rFonts w:eastAsia="Times New Roman"/>
        </w:rPr>
      </w:pPr>
      <w:r>
        <w:rPr>
          <w:rFonts w:eastAsia="Times New Roman"/>
        </w:rPr>
        <w:lastRenderedPageBreak/>
        <w:t>4.5.1</w:t>
      </w:r>
      <w:r w:rsidR="0028058B">
        <w:rPr>
          <w:rFonts w:eastAsia="Times New Roman"/>
        </w:rPr>
        <w:t>.</w:t>
      </w:r>
      <w:r w:rsidR="0028058B">
        <w:rPr>
          <w:rFonts w:eastAsia="Times New Roman"/>
        </w:rPr>
        <w:tab/>
      </w:r>
      <w:r w:rsidR="00F37395">
        <w:rPr>
          <w:rFonts w:eastAsia="Times New Roman"/>
        </w:rPr>
        <w:t>ESA</w:t>
      </w:r>
      <w:r w:rsidR="00BE4EE6" w:rsidRPr="00BE4EE6">
        <w:rPr>
          <w:rFonts w:eastAsia="Times New Roman"/>
        </w:rPr>
        <w:t>: First update</w:t>
      </w:r>
      <w:r w:rsidR="00611E55">
        <w:rPr>
          <w:rFonts w:eastAsia="Times New Roman"/>
        </w:rPr>
        <w:t xml:space="preserve"> of neurosurgery guidelines </w:t>
      </w:r>
    </w:p>
    <w:p w14:paraId="26C6A183" w14:textId="59D4A75E" w:rsidR="00BE4EE6" w:rsidRPr="006A6D04" w:rsidRDefault="006A6D04" w:rsidP="002C600C">
      <w:pPr>
        <w:pStyle w:val="Paragraph"/>
        <w:rPr>
          <w:rStyle w:val="Hyperlink"/>
        </w:rPr>
      </w:pPr>
      <w:r>
        <w:rPr>
          <w:color w:val="0563C1" w:themeColor="hyperlink"/>
          <w:u w:val="single"/>
        </w:rPr>
        <w:fldChar w:fldCharType="begin"/>
      </w:r>
      <w:r w:rsidR="00580DBD">
        <w:rPr>
          <w:color w:val="0563C1" w:themeColor="hyperlink"/>
          <w:u w:val="single"/>
        </w:rPr>
        <w:instrText>HYPERLINK "https://journals.lww.com/ejanaesthesiology/fulltext/2024/08000/european_guidelines_on_peri_operative_venous.3.aspx"</w:instrText>
      </w:r>
      <w:r>
        <w:rPr>
          <w:color w:val="0563C1" w:themeColor="hyperlink"/>
          <w:u w:val="single"/>
        </w:rPr>
      </w:r>
      <w:r>
        <w:rPr>
          <w:color w:val="0563C1" w:themeColor="hyperlink"/>
          <w:u w:val="single"/>
        </w:rPr>
        <w:fldChar w:fldCharType="separate"/>
      </w:r>
      <w:r w:rsidR="00BE4EE6" w:rsidRPr="006A6D04">
        <w:rPr>
          <w:rStyle w:val="Hyperlink"/>
        </w:rPr>
        <w:t xml:space="preserve">Samama, C. M., Afshari, A., Lars Grønlykke, Madsen, M. H., Wiberg, S., &amp; Romero, C. S. (2024). European guidelines on peri-operative venous thromboembolism prophylaxis: first update. </w:t>
      </w:r>
      <w:r w:rsidR="00BE4EE6" w:rsidRPr="006A6D04">
        <w:rPr>
          <w:rStyle w:val="Hyperlink"/>
          <w:i/>
          <w:iCs/>
        </w:rPr>
        <w:t>European Journal of Anaesthesiology, 41</w:t>
      </w:r>
      <w:r w:rsidR="00BE4EE6" w:rsidRPr="006A6D04">
        <w:rPr>
          <w:rStyle w:val="Hyperlink"/>
        </w:rPr>
        <w:t xml:space="preserve">(8), 561–569. </w:t>
      </w:r>
      <w:r w:rsidR="009B2EC1" w:rsidRPr="006A6D04">
        <w:rPr>
          <w:rStyle w:val="Hyperlink"/>
        </w:rPr>
        <w:t>https://doi.org/10.1097/eja.0000000000002025</w:t>
      </w:r>
    </w:p>
    <w:p w14:paraId="57223462" w14:textId="553E369E" w:rsidR="008B423B" w:rsidRPr="00BE4EE6" w:rsidRDefault="006A6D04" w:rsidP="002C600C">
      <w:pPr>
        <w:pStyle w:val="Paragraph"/>
      </w:pPr>
      <w:r>
        <w:rPr>
          <w:color w:val="0563C1" w:themeColor="hyperlink"/>
          <w:u w:val="single"/>
        </w:rPr>
        <w:fldChar w:fldCharType="end"/>
      </w:r>
      <w:r w:rsidR="008B423B">
        <w:t>Updated g</w:t>
      </w:r>
      <w:r w:rsidR="008B423B" w:rsidRPr="008B423B">
        <w:t xml:space="preserve">uideline recommendations for patients undergoing neurosurgery are included in </w:t>
      </w:r>
      <w:r w:rsidR="008B423B" w:rsidRPr="008B423B">
        <w:rPr>
          <w:b/>
          <w:bCs/>
        </w:rPr>
        <w:t>Table 2</w:t>
      </w:r>
      <w:r w:rsidR="00583356">
        <w:rPr>
          <w:b/>
          <w:bCs/>
        </w:rPr>
        <w:t>8</w:t>
      </w:r>
      <w:r w:rsidR="008B423B" w:rsidRPr="008B423B">
        <w:rPr>
          <w:b/>
          <w:bCs/>
        </w:rPr>
        <w:t xml:space="preserve"> </w:t>
      </w:r>
      <w:r w:rsidR="008B423B" w:rsidRPr="008B423B">
        <w:t>below.</w:t>
      </w:r>
    </w:p>
    <w:p w14:paraId="2425A791" w14:textId="00E78B56" w:rsidR="00326078" w:rsidRPr="00EA5BE0" w:rsidRDefault="00326078" w:rsidP="00326078">
      <w:pPr>
        <w:pStyle w:val="TableTitle"/>
      </w:pPr>
      <w:r w:rsidRPr="00A81F7D">
        <w:rPr>
          <w:b/>
          <w:bCs/>
        </w:rPr>
        <w:t>Table 2</w:t>
      </w:r>
      <w:r w:rsidR="00583356" w:rsidRPr="00A81F7D">
        <w:rPr>
          <w:b/>
          <w:bCs/>
        </w:rPr>
        <w:t>8</w:t>
      </w:r>
      <w:r w:rsidR="00A81F7D" w:rsidRPr="00A81F7D">
        <w:rPr>
          <w:b/>
          <w:bCs/>
        </w:rPr>
        <w:t>.</w:t>
      </w:r>
      <w:r w:rsidRPr="00EA5BE0">
        <w:t xml:space="preserve"> ESA (20</w:t>
      </w:r>
      <w:r>
        <w:t>24</w:t>
      </w:r>
      <w:r w:rsidRPr="00EA5BE0">
        <w:t>)</w:t>
      </w:r>
      <w:r w:rsidR="00D37E2C">
        <w:t xml:space="preserve"> </w:t>
      </w:r>
      <w:r w:rsidR="00611E55">
        <w:t xml:space="preserve">First update of neurosurgery guidelines </w:t>
      </w:r>
    </w:p>
    <w:tbl>
      <w:tblPr>
        <w:tblStyle w:val="AlternateTable"/>
        <w:tblW w:w="5000" w:type="pct"/>
        <w:tblLook w:val="04A0" w:firstRow="1" w:lastRow="0" w:firstColumn="1" w:lastColumn="0" w:noHBand="0" w:noVBand="1"/>
      </w:tblPr>
      <w:tblGrid>
        <w:gridCol w:w="9990"/>
        <w:gridCol w:w="1800"/>
        <w:gridCol w:w="1170"/>
      </w:tblGrid>
      <w:tr w:rsidR="00326078" w:rsidRPr="00EA5BE0" w14:paraId="2D3B3C00" w14:textId="77777777" w:rsidTr="0028058B">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9990" w:type="dxa"/>
            <w:vAlign w:val="bottom"/>
            <w:hideMark/>
          </w:tcPr>
          <w:p w14:paraId="539A3AA5" w14:textId="77777777" w:rsidR="00326078" w:rsidRPr="00EA5BE0" w:rsidRDefault="00326078" w:rsidP="003734EF">
            <w:pPr>
              <w:pStyle w:val="TableHeaderLeft"/>
              <w:rPr>
                <w:b w:val="0"/>
              </w:rPr>
            </w:pPr>
            <w:r w:rsidRPr="00EA5BE0">
              <w:t>Verbatim Guideline</w:t>
            </w:r>
          </w:p>
        </w:tc>
        <w:tc>
          <w:tcPr>
            <w:tcW w:w="1800" w:type="dxa"/>
            <w:vAlign w:val="bottom"/>
            <w:hideMark/>
          </w:tcPr>
          <w:p w14:paraId="5EC8A508" w14:textId="77777777" w:rsidR="00326078" w:rsidRPr="00EA5BE0" w:rsidRDefault="00326078" w:rsidP="003734EF">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170" w:type="dxa"/>
            <w:vAlign w:val="bottom"/>
            <w:hideMark/>
          </w:tcPr>
          <w:p w14:paraId="526FFC9F" w14:textId="77777777" w:rsidR="00326078" w:rsidRPr="00EA5BE0" w:rsidRDefault="00326078" w:rsidP="003734EF">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3734EF" w:rsidRPr="00EA5BE0" w14:paraId="13B8F397"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shd w:val="clear" w:color="auto" w:fill="0B2949" w:themeFill="accent1"/>
          </w:tcPr>
          <w:p w14:paraId="1E9D67AB" w14:textId="4C7CCAB4" w:rsidR="003734EF" w:rsidRPr="00A04DCD" w:rsidRDefault="003734EF" w:rsidP="003734EF">
            <w:pPr>
              <w:pStyle w:val="TableRowHead"/>
              <w:rPr>
                <w:color w:val="000000"/>
              </w:rPr>
            </w:pPr>
            <w:r w:rsidRPr="00F805E1">
              <w:t xml:space="preserve">Patients undergoing </w:t>
            </w:r>
            <w:r>
              <w:t>neurosurgery</w:t>
            </w:r>
          </w:p>
        </w:tc>
        <w:tc>
          <w:tcPr>
            <w:tcW w:w="1800" w:type="dxa"/>
            <w:shd w:val="clear" w:color="auto" w:fill="0B2949" w:themeFill="accent1"/>
          </w:tcPr>
          <w:p w14:paraId="179ECDF6" w14:textId="77777777" w:rsidR="003734EF" w:rsidRPr="00EA5BE0" w:rsidRDefault="003734EF" w:rsidP="003734EF">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tcPr>
          <w:p w14:paraId="42500ABE" w14:textId="77777777" w:rsidR="003734EF" w:rsidRPr="00EA5BE0" w:rsidRDefault="003734EF" w:rsidP="003734EF">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3734EF" w:rsidRPr="00EA5BE0" w14:paraId="3D02CD3A"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18CDB219" w14:textId="38FCABF5" w:rsidR="003734EF" w:rsidRPr="00EA5BE0" w:rsidRDefault="003734EF" w:rsidP="003734EF">
            <w:pPr>
              <w:pStyle w:val="TableTextLeft"/>
            </w:pPr>
            <w:r w:rsidRPr="00A04DCD">
              <w:t>We recommend the peri-operative use of IPC from the beginning of surgery, in patients undergoing moderate-to-high complexity spine procedures, craniotomy and in patients at risk of bleeding complications</w:t>
            </w:r>
            <w:r>
              <w:t>.</w:t>
            </w:r>
          </w:p>
        </w:tc>
        <w:tc>
          <w:tcPr>
            <w:tcW w:w="1800" w:type="dxa"/>
            <w:hideMark/>
          </w:tcPr>
          <w:p w14:paraId="2636373C" w14:textId="77777777" w:rsidR="003734EF" w:rsidRPr="00EA5BE0" w:rsidRDefault="003734EF" w:rsidP="0028058B">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08F1BD96" w14:textId="77777777" w:rsidR="003734EF" w:rsidRPr="00EA5BE0" w:rsidRDefault="003734EF"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3734EF" w:rsidRPr="00EA5BE0" w14:paraId="51763932"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2F880A94" w14:textId="5BCE461B" w:rsidR="003734EF" w:rsidRPr="00EA5BE0" w:rsidRDefault="003734EF" w:rsidP="003734EF">
            <w:pPr>
              <w:pStyle w:val="TableTextLeft"/>
            </w:pPr>
            <w:r>
              <w:t>I</w:t>
            </w:r>
            <w:r w:rsidRPr="00A04DCD">
              <w:t xml:space="preserve">n patients at high thrombotic risk, a combination of mechanical and pharmacological prophylaxis is suggested, starting LMWH or UFH in the first 24 h postoperatively and no later than 72 h, provided that the risk of bleeding is ruled out and </w:t>
            </w:r>
            <w:proofErr w:type="spellStart"/>
            <w:r w:rsidRPr="00A04DCD">
              <w:t>haemostasis</w:t>
            </w:r>
            <w:proofErr w:type="spellEnd"/>
            <w:r w:rsidRPr="00A04DCD">
              <w:t xml:space="preserve"> is correct</w:t>
            </w:r>
            <w:r>
              <w:t>.</w:t>
            </w:r>
          </w:p>
        </w:tc>
        <w:tc>
          <w:tcPr>
            <w:tcW w:w="1800" w:type="dxa"/>
            <w:hideMark/>
          </w:tcPr>
          <w:p w14:paraId="110AA7CF" w14:textId="77777777" w:rsidR="003734EF" w:rsidRPr="00EA5BE0" w:rsidRDefault="003734EF"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60D47415" w14:textId="1ADF77CE" w:rsidR="003734EF" w:rsidRPr="00EA5BE0" w:rsidRDefault="003734EF" w:rsidP="0028058B">
            <w:pPr>
              <w:pStyle w:val="TableTextLeft"/>
              <w:cnfStyle w:val="000000000000" w:firstRow="0" w:lastRow="0" w:firstColumn="0" w:lastColumn="0" w:oddVBand="0" w:evenVBand="0" w:oddHBand="0" w:evenHBand="0" w:firstRowFirstColumn="0" w:firstRowLastColumn="0" w:lastRowFirstColumn="0" w:lastRowLastColumn="0"/>
            </w:pPr>
            <w:r>
              <w:t>B</w:t>
            </w:r>
          </w:p>
        </w:tc>
      </w:tr>
      <w:tr w:rsidR="003734EF" w:rsidRPr="00EA5BE0" w14:paraId="174084AE"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3F7D1EC3" w14:textId="33593DDF" w:rsidR="003734EF" w:rsidRPr="00EA5BE0" w:rsidRDefault="003734EF" w:rsidP="003734EF">
            <w:pPr>
              <w:pStyle w:val="TableTextLeft"/>
            </w:pPr>
            <w:r w:rsidRPr="008022B9">
              <w:t xml:space="preserve">After nontraumatic intracerebral </w:t>
            </w:r>
            <w:proofErr w:type="spellStart"/>
            <w:r w:rsidRPr="008022B9">
              <w:t>haemorrhage</w:t>
            </w:r>
            <w:proofErr w:type="spellEnd"/>
            <w:r w:rsidRPr="008022B9">
              <w:t xml:space="preserve">, provided the volume of intracranial blood is not expanding and </w:t>
            </w:r>
            <w:proofErr w:type="spellStart"/>
            <w:r w:rsidRPr="008022B9">
              <w:t>haemostasis</w:t>
            </w:r>
            <w:proofErr w:type="spellEnd"/>
            <w:r w:rsidRPr="008022B9">
              <w:t xml:space="preserve"> is correct, we suggest starting pharmacological prophylaxis 2 to 4 days after the bleeding</w:t>
            </w:r>
            <w:r>
              <w:t>.</w:t>
            </w:r>
          </w:p>
        </w:tc>
        <w:tc>
          <w:tcPr>
            <w:tcW w:w="1800" w:type="dxa"/>
            <w:hideMark/>
          </w:tcPr>
          <w:p w14:paraId="3E11F263" w14:textId="77777777" w:rsidR="003734EF" w:rsidRPr="00EA5BE0" w:rsidRDefault="003734EF"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518C87BF" w14:textId="77777777" w:rsidR="003734EF" w:rsidRPr="00EA5BE0" w:rsidRDefault="003734EF"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bl>
    <w:p w14:paraId="1E753F00" w14:textId="4F73640F" w:rsidR="00EA5BE0" w:rsidRPr="00EA5BE0" w:rsidRDefault="00EA5BE0" w:rsidP="00BA5993">
      <w:pPr>
        <w:pStyle w:val="H3"/>
        <w:rPr>
          <w:rFonts w:eastAsia="Times New Roman"/>
        </w:rPr>
      </w:pPr>
      <w:bookmarkStart w:id="26" w:name="_Toc195287991"/>
      <w:r w:rsidRPr="00EA5BE0">
        <w:rPr>
          <w:rFonts w:eastAsia="Times New Roman"/>
        </w:rPr>
        <w:t>4.6</w:t>
      </w:r>
      <w:r w:rsidR="00E35C94">
        <w:rPr>
          <w:rFonts w:eastAsia="Times New Roman"/>
        </w:rPr>
        <w:t>.</w:t>
      </w:r>
      <w:r w:rsidR="00E35C94">
        <w:rPr>
          <w:rFonts w:eastAsia="Times New Roman"/>
        </w:rPr>
        <w:tab/>
      </w:r>
      <w:r w:rsidR="00F37395">
        <w:rPr>
          <w:rFonts w:eastAsia="Times New Roman"/>
        </w:rPr>
        <w:t>ESA</w:t>
      </w:r>
      <w:r w:rsidRPr="00EA5BE0">
        <w:rPr>
          <w:rFonts w:eastAsia="Times New Roman"/>
        </w:rPr>
        <w:t>: Chronic treatments with anti-platelet agents</w:t>
      </w:r>
      <w:bookmarkEnd w:id="26"/>
    </w:p>
    <w:p w14:paraId="12FE94D5" w14:textId="77777777" w:rsidR="00EA5BE0" w:rsidRPr="002C600C" w:rsidRDefault="00EA5BE0" w:rsidP="002C600C">
      <w:pPr>
        <w:pStyle w:val="Paragraph"/>
        <w:rPr>
          <w:rStyle w:val="Hyperlink"/>
        </w:rPr>
      </w:pPr>
      <w:hyperlink r:id="rId27" w:history="1">
        <w:r w:rsidRPr="002C600C">
          <w:rPr>
            <w:rStyle w:val="Hyperlink"/>
          </w:rPr>
          <w:t xml:space="preserve">Llau, J. v., Kamphuisen, P., &amp; Albaladejo, P. (2018). European guidelines on perioperative venous thromboembolism prophylaxis: Chronic treatments with antiplatelet agents. </w:t>
        </w:r>
        <w:r w:rsidRPr="002C600C">
          <w:rPr>
            <w:rStyle w:val="Hyperlink"/>
            <w:i/>
            <w:iCs/>
          </w:rPr>
          <w:t>European Journal of Anaesthesiology</w:t>
        </w:r>
        <w:r w:rsidRPr="002C600C">
          <w:rPr>
            <w:rStyle w:val="Hyperlink"/>
          </w:rPr>
          <w:t>, 35(2), 139–141. https://doi.org/10.1097/EJA.0000000000000716</w:t>
        </w:r>
      </w:hyperlink>
    </w:p>
    <w:p w14:paraId="4BA05AD6" w14:textId="686EAE2E" w:rsidR="00EA5BE0" w:rsidRPr="00D237B6" w:rsidRDefault="00EA5BE0" w:rsidP="002C600C">
      <w:pPr>
        <w:pStyle w:val="Paragraph"/>
      </w:pPr>
      <w:r w:rsidRPr="00D237B6">
        <w:t xml:space="preserve">Key guideline recommendations for patients with chronic treatments with antiplatelet agents undergoing surgery are included in </w:t>
      </w:r>
      <w:r w:rsidRPr="00D237B6">
        <w:rPr>
          <w:b/>
          <w:bCs/>
        </w:rPr>
        <w:t>Table 2</w:t>
      </w:r>
      <w:r w:rsidR="00493DDA">
        <w:rPr>
          <w:b/>
          <w:bCs/>
        </w:rPr>
        <w:t>9</w:t>
      </w:r>
      <w:r w:rsidRPr="00D237B6">
        <w:rPr>
          <w:b/>
          <w:bCs/>
        </w:rPr>
        <w:t xml:space="preserve"> </w:t>
      </w:r>
      <w:r w:rsidRPr="00D237B6">
        <w:t>below.</w:t>
      </w:r>
    </w:p>
    <w:p w14:paraId="61C9AB11" w14:textId="6C3969E6" w:rsidR="00EA5BE0" w:rsidRPr="00EA5BE0" w:rsidRDefault="00EA5BE0" w:rsidP="00D237B6">
      <w:pPr>
        <w:pStyle w:val="TableTitle"/>
      </w:pPr>
      <w:r w:rsidRPr="009B4A6B">
        <w:rPr>
          <w:b/>
          <w:bCs/>
        </w:rPr>
        <w:t>Table 2</w:t>
      </w:r>
      <w:r w:rsidR="00493DDA" w:rsidRPr="009B4A6B">
        <w:rPr>
          <w:b/>
          <w:bCs/>
        </w:rPr>
        <w:t>9</w:t>
      </w:r>
      <w:r w:rsidR="009B4A6B" w:rsidRPr="009B4A6B">
        <w:rPr>
          <w:b/>
          <w:bCs/>
        </w:rPr>
        <w:t>.</w:t>
      </w:r>
      <w:r w:rsidRPr="00EA5BE0">
        <w:t xml:space="preserve"> ESA (2018)</w:t>
      </w:r>
      <w:r w:rsidR="00D37E2C">
        <w:t xml:space="preserve"> </w:t>
      </w:r>
      <w:r w:rsidR="00913B9D">
        <w:t>Guidelines that support chronic treatment with anti-platelet agents</w:t>
      </w:r>
    </w:p>
    <w:tbl>
      <w:tblPr>
        <w:tblStyle w:val="AlternateTable"/>
        <w:tblW w:w="5000" w:type="pct"/>
        <w:tblLook w:val="04A0" w:firstRow="1" w:lastRow="0" w:firstColumn="1" w:lastColumn="0" w:noHBand="0" w:noVBand="1"/>
      </w:tblPr>
      <w:tblGrid>
        <w:gridCol w:w="9990"/>
        <w:gridCol w:w="1800"/>
        <w:gridCol w:w="1170"/>
      </w:tblGrid>
      <w:tr w:rsidR="00EA5BE0" w:rsidRPr="00EA5BE0" w14:paraId="328C56C3" w14:textId="77777777" w:rsidTr="0028058B">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9990" w:type="dxa"/>
            <w:vAlign w:val="bottom"/>
            <w:hideMark/>
          </w:tcPr>
          <w:p w14:paraId="10B49786" w14:textId="77777777" w:rsidR="00EA5BE0" w:rsidRPr="00EA5BE0" w:rsidRDefault="00EA5BE0" w:rsidP="00860761">
            <w:pPr>
              <w:pStyle w:val="TableHeaderLeft"/>
              <w:rPr>
                <w:b w:val="0"/>
              </w:rPr>
            </w:pPr>
            <w:r w:rsidRPr="00EA5BE0">
              <w:t>Verbatim Guideline</w:t>
            </w:r>
          </w:p>
        </w:tc>
        <w:tc>
          <w:tcPr>
            <w:tcW w:w="1800" w:type="dxa"/>
            <w:vAlign w:val="bottom"/>
            <w:hideMark/>
          </w:tcPr>
          <w:p w14:paraId="7B25BC2E" w14:textId="77777777" w:rsidR="00EA5BE0" w:rsidRPr="00EA5BE0" w:rsidRDefault="00EA5BE0" w:rsidP="00860761">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170" w:type="dxa"/>
            <w:vAlign w:val="bottom"/>
            <w:hideMark/>
          </w:tcPr>
          <w:p w14:paraId="71B11C01" w14:textId="77777777" w:rsidR="00EA5BE0" w:rsidRPr="00EA5BE0" w:rsidRDefault="00EA5BE0" w:rsidP="00860761">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9B4A6B" w:rsidRPr="00EA5BE0" w14:paraId="388F7898"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shd w:val="clear" w:color="auto" w:fill="0B2949" w:themeFill="accent1"/>
          </w:tcPr>
          <w:p w14:paraId="2CAC644E" w14:textId="5314A7C3" w:rsidR="009B4A6B" w:rsidRPr="00EA5BE0" w:rsidRDefault="009B4A6B" w:rsidP="00860761">
            <w:pPr>
              <w:pStyle w:val="TableRowHead"/>
              <w:rPr>
                <w:color w:val="000000"/>
              </w:rPr>
            </w:pPr>
            <w:r w:rsidRPr="00D237B6">
              <w:t>Chronic treatments with antiplatelet agents</w:t>
            </w:r>
          </w:p>
        </w:tc>
        <w:tc>
          <w:tcPr>
            <w:tcW w:w="1800" w:type="dxa"/>
            <w:shd w:val="clear" w:color="auto" w:fill="0B2949" w:themeFill="accent1"/>
          </w:tcPr>
          <w:p w14:paraId="6C90C765" w14:textId="77777777" w:rsidR="009B4A6B" w:rsidRPr="00EA5BE0" w:rsidRDefault="009B4A6B" w:rsidP="00860761">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tcPr>
          <w:p w14:paraId="093E5D57" w14:textId="77777777" w:rsidR="009B4A6B" w:rsidRPr="00EA5BE0" w:rsidRDefault="009B4A6B" w:rsidP="00860761">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EA5BE0" w:rsidRPr="00EA5BE0" w14:paraId="44E233F7"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73E715AD" w14:textId="77777777" w:rsidR="00EA5BE0" w:rsidRPr="00EA5BE0" w:rsidRDefault="00EA5BE0" w:rsidP="00860761">
            <w:pPr>
              <w:pStyle w:val="TableTextLeft"/>
            </w:pPr>
            <w:r w:rsidRPr="00EA5BE0">
              <w:t>In patients receiving APA chronically, we recommend thromboprophylaxis in cases of moderate/high VTE risk, whilst assessing the risk of perioperative bleeding.</w:t>
            </w:r>
          </w:p>
        </w:tc>
        <w:tc>
          <w:tcPr>
            <w:tcW w:w="1800" w:type="dxa"/>
            <w:hideMark/>
          </w:tcPr>
          <w:p w14:paraId="03377AF3"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02745B60"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EA5BE0" w:rsidRPr="00EA5BE0" w14:paraId="26624583"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34F05D26" w14:textId="77777777" w:rsidR="00EA5BE0" w:rsidRPr="00EA5BE0" w:rsidRDefault="00EA5BE0" w:rsidP="00860761">
            <w:pPr>
              <w:pStyle w:val="TableTextLeft"/>
            </w:pPr>
            <w:r w:rsidRPr="00EA5BE0">
              <w:t>In patients receiving APA chronically, if the risk of VTE outweighs the risk of bleeding, we suggest</w:t>
            </w:r>
            <w:r w:rsidRPr="00EA5BE0">
              <w:br/>
              <w:t>pharmacological (anticoagulant) prophylaxis (LMWH, direct oral anticoagulants, fondaparinux depending on the indication).</w:t>
            </w:r>
          </w:p>
        </w:tc>
        <w:tc>
          <w:tcPr>
            <w:tcW w:w="1800" w:type="dxa"/>
            <w:hideMark/>
          </w:tcPr>
          <w:p w14:paraId="04324583"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17A169BD"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50DCBD28"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231181DE" w14:textId="77777777" w:rsidR="00EA5BE0" w:rsidRPr="00EA5BE0" w:rsidRDefault="00EA5BE0" w:rsidP="00860761">
            <w:pPr>
              <w:pStyle w:val="TableTextLeft"/>
            </w:pPr>
            <w:r w:rsidRPr="00EA5BE0">
              <w:lastRenderedPageBreak/>
              <w:t>In patients treated with dual antiplatelet therapy (recent coronary stent implantation) undergoing a</w:t>
            </w:r>
            <w:r w:rsidRPr="00EA5BE0">
              <w:br/>
              <w:t>procedure associated with a high risk of VTE, we suggest resuming APA shortly after the procedure,</w:t>
            </w:r>
            <w:r w:rsidRPr="00EA5BE0">
              <w:br/>
            </w:r>
            <w:proofErr w:type="spellStart"/>
            <w:r w:rsidRPr="00EA5BE0">
              <w:t>prioritising</w:t>
            </w:r>
            <w:proofErr w:type="spellEnd"/>
            <w:r w:rsidRPr="00EA5BE0">
              <w:t xml:space="preserve"> over pharmacological VTE prevention.</w:t>
            </w:r>
          </w:p>
        </w:tc>
        <w:tc>
          <w:tcPr>
            <w:tcW w:w="1800" w:type="dxa"/>
            <w:hideMark/>
          </w:tcPr>
          <w:p w14:paraId="71AFDBDD"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0292B2A9"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608562B4"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3F51977A" w14:textId="77777777" w:rsidR="00EA5BE0" w:rsidRPr="00EA5BE0" w:rsidRDefault="00EA5BE0" w:rsidP="00860761">
            <w:pPr>
              <w:pStyle w:val="TableTextLeft"/>
            </w:pPr>
            <w:r w:rsidRPr="00EA5BE0">
              <w:t>If an anticoagulant is associated with an APA, we suggest the administration of the lowest approved dose.</w:t>
            </w:r>
          </w:p>
        </w:tc>
        <w:tc>
          <w:tcPr>
            <w:tcW w:w="1800" w:type="dxa"/>
            <w:hideMark/>
          </w:tcPr>
          <w:p w14:paraId="382CFC09"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30CDC182"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31FECEEF"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7828825B" w14:textId="77777777" w:rsidR="00EA5BE0" w:rsidRPr="00EA5BE0" w:rsidRDefault="00EA5BE0" w:rsidP="00860761">
            <w:pPr>
              <w:pStyle w:val="TableTextLeft"/>
            </w:pPr>
            <w:r w:rsidRPr="00EA5BE0">
              <w:t>If the risk of bleeding of a combination of an APA and an anticoagulant outweighs the risk of VTE, we suggest considering intermittent pneumatic compression over anticoagulant prophylaxis, without discontinuing the APA.</w:t>
            </w:r>
          </w:p>
        </w:tc>
        <w:tc>
          <w:tcPr>
            <w:tcW w:w="1800" w:type="dxa"/>
            <w:hideMark/>
          </w:tcPr>
          <w:p w14:paraId="451DDDA3"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25CC845E"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6EBAD48F"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175576ED" w14:textId="77777777" w:rsidR="00EA5BE0" w:rsidRPr="00EA5BE0" w:rsidRDefault="00EA5BE0" w:rsidP="00860761">
            <w:pPr>
              <w:pStyle w:val="TableTextLeft"/>
            </w:pPr>
            <w:r w:rsidRPr="00EA5BE0">
              <w:t xml:space="preserve">Patients in whom neuraxial </w:t>
            </w:r>
            <w:proofErr w:type="spellStart"/>
            <w:proofErr w:type="gramStart"/>
            <w:r w:rsidRPr="00EA5BE0">
              <w:t>anaesthesia</w:t>
            </w:r>
            <w:proofErr w:type="spellEnd"/>
            <w:proofErr w:type="gramEnd"/>
            <w:r w:rsidRPr="00EA5BE0">
              <w:t xml:space="preserve"> is planned, although the administration of aspirin alone does not increase the incidence of spinal </w:t>
            </w:r>
            <w:proofErr w:type="spellStart"/>
            <w:r w:rsidRPr="00EA5BE0">
              <w:t>haematoma</w:t>
            </w:r>
            <w:proofErr w:type="spellEnd"/>
            <w:r w:rsidRPr="00EA5BE0">
              <w:t>, a higher rate of complications could appear if pharmacological thromboprophylaxis is administered concurrently. In these cases, postoperative thromboprophylaxis initiation should be suggested.</w:t>
            </w:r>
          </w:p>
        </w:tc>
        <w:tc>
          <w:tcPr>
            <w:tcW w:w="1800" w:type="dxa"/>
            <w:hideMark/>
          </w:tcPr>
          <w:p w14:paraId="44C01C3E"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19084E91"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05F8CB3E"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10796185" w14:textId="77777777" w:rsidR="00EA5BE0" w:rsidRPr="00EA5BE0" w:rsidRDefault="00EA5BE0" w:rsidP="00860761">
            <w:pPr>
              <w:pStyle w:val="TableTextLeft"/>
            </w:pPr>
            <w:r w:rsidRPr="00EA5BE0">
              <w:t xml:space="preserve">After surgery, the first dose of aspirin should be given as soon as possible, once </w:t>
            </w:r>
            <w:proofErr w:type="spellStart"/>
            <w:r w:rsidRPr="00EA5BE0">
              <w:t>haemostasis</w:t>
            </w:r>
            <w:proofErr w:type="spellEnd"/>
            <w:r w:rsidRPr="00EA5BE0">
              <w:t xml:space="preserve"> is considered adequate (in general, the day after surgery).</w:t>
            </w:r>
          </w:p>
        </w:tc>
        <w:tc>
          <w:tcPr>
            <w:tcW w:w="1800" w:type="dxa"/>
            <w:hideMark/>
          </w:tcPr>
          <w:p w14:paraId="1B9EF0A1"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3B8204A4"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EA5BE0" w:rsidRPr="00EA5BE0" w14:paraId="641D5ED4"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3499BDD3" w14:textId="77777777" w:rsidR="00EA5BE0" w:rsidRPr="00EA5BE0" w:rsidRDefault="00EA5BE0" w:rsidP="00860761">
            <w:pPr>
              <w:pStyle w:val="TableTextLeft"/>
            </w:pPr>
            <w:r w:rsidRPr="00EA5BE0">
              <w:t>In the case of clopidogrel, the main recommendation is to give the drug without any loading dose between 24 and 48 h after surgery.</w:t>
            </w:r>
          </w:p>
        </w:tc>
        <w:tc>
          <w:tcPr>
            <w:tcW w:w="1800" w:type="dxa"/>
            <w:hideMark/>
          </w:tcPr>
          <w:p w14:paraId="09141941"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63197EAB"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558C1C8F"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55CBDCC1" w14:textId="77777777" w:rsidR="00EA5BE0" w:rsidRPr="00EA5BE0" w:rsidRDefault="00EA5BE0" w:rsidP="00860761">
            <w:pPr>
              <w:pStyle w:val="TableTextLeft"/>
            </w:pPr>
            <w:r w:rsidRPr="00EA5BE0">
              <w:t xml:space="preserve">Monitoring for clinical signs of bleeding or unexplained </w:t>
            </w:r>
            <w:proofErr w:type="spellStart"/>
            <w:r w:rsidRPr="00EA5BE0">
              <w:t>anaemia</w:t>
            </w:r>
            <w:proofErr w:type="spellEnd"/>
            <w:r w:rsidRPr="00EA5BE0">
              <w:t xml:space="preserve"> is recommended during concomitant administration of an anticoagulant for thromboprophylaxis (LMWH, unfractionated heparin, fondaparinux, warfarin or any other) and an APA throughout the postoperative period.</w:t>
            </w:r>
          </w:p>
        </w:tc>
        <w:tc>
          <w:tcPr>
            <w:tcW w:w="1800" w:type="dxa"/>
            <w:hideMark/>
          </w:tcPr>
          <w:p w14:paraId="08E0CDFB"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334ABEF2"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EA5BE0" w:rsidRPr="00EA5BE0" w14:paraId="4E7242B6" w14:textId="77777777" w:rsidTr="0028058B">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7B308132" w14:textId="77777777" w:rsidR="00EA5BE0" w:rsidRPr="00EA5BE0" w:rsidRDefault="00EA5BE0" w:rsidP="00860761">
            <w:pPr>
              <w:pStyle w:val="TableTextLeft"/>
            </w:pPr>
            <w:r w:rsidRPr="00EA5BE0">
              <w:t>Nonsteroidal anti-inflammatory drugs should be avoided in patients treated with APA.</w:t>
            </w:r>
          </w:p>
        </w:tc>
        <w:tc>
          <w:tcPr>
            <w:tcW w:w="1800" w:type="dxa"/>
            <w:hideMark/>
          </w:tcPr>
          <w:p w14:paraId="0ED966E9"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454DA2FB" w14:textId="77777777" w:rsidR="00EA5BE0" w:rsidRPr="00EA5BE0" w:rsidRDefault="00EA5BE0" w:rsidP="0028058B">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bl>
    <w:p w14:paraId="10761D8E" w14:textId="4D633D7F" w:rsidR="00EA5BE0" w:rsidRPr="00D237B6" w:rsidRDefault="00EA5BE0" w:rsidP="001022A9">
      <w:pPr>
        <w:pStyle w:val="H3"/>
        <w:rPr>
          <w:rFonts w:eastAsia="Times New Roman" w:cstheme="minorHAnsi"/>
          <w:szCs w:val="20"/>
        </w:rPr>
      </w:pPr>
      <w:bookmarkStart w:id="27" w:name="_Toc195287992"/>
      <w:r w:rsidRPr="00D237B6">
        <w:rPr>
          <w:rFonts w:eastAsia="Times New Roman" w:cstheme="minorHAnsi"/>
          <w:szCs w:val="20"/>
        </w:rPr>
        <w:t>4.7</w:t>
      </w:r>
      <w:r w:rsidR="0028058B">
        <w:rPr>
          <w:rFonts w:eastAsia="Times New Roman" w:cstheme="minorHAnsi"/>
          <w:szCs w:val="20"/>
        </w:rPr>
        <w:t>.</w:t>
      </w:r>
      <w:r w:rsidR="0028058B">
        <w:rPr>
          <w:rFonts w:eastAsia="Times New Roman" w:cstheme="minorHAnsi"/>
          <w:szCs w:val="20"/>
        </w:rPr>
        <w:tab/>
      </w:r>
      <w:r w:rsidRPr="00D237B6">
        <w:rPr>
          <w:rFonts w:eastAsia="Times New Roman" w:cstheme="minorHAnsi"/>
          <w:szCs w:val="20"/>
        </w:rPr>
        <w:t>E</w:t>
      </w:r>
      <w:r w:rsidR="00F37395">
        <w:rPr>
          <w:rFonts w:eastAsia="Times New Roman" w:cstheme="minorHAnsi"/>
          <w:szCs w:val="20"/>
        </w:rPr>
        <w:t>SA</w:t>
      </w:r>
      <w:r w:rsidRPr="00D237B6">
        <w:rPr>
          <w:rFonts w:eastAsia="Times New Roman" w:cstheme="minorHAnsi"/>
          <w:szCs w:val="20"/>
        </w:rPr>
        <w:t>: Patients with pre-existing coagulation disorders and after severe perioperative bleeding</w:t>
      </w:r>
      <w:bookmarkEnd w:id="27"/>
    </w:p>
    <w:p w14:paraId="1E589778" w14:textId="77777777" w:rsidR="00EA5BE0" w:rsidRPr="00860761" w:rsidRDefault="00EA5BE0" w:rsidP="00860761">
      <w:pPr>
        <w:pStyle w:val="Paragraph"/>
        <w:rPr>
          <w:rStyle w:val="Hyperlink"/>
        </w:rPr>
      </w:pPr>
      <w:hyperlink r:id="rId28" w:history="1">
        <w:r w:rsidRPr="00860761">
          <w:rPr>
            <w:rStyle w:val="Hyperlink"/>
          </w:rPr>
          <w:t xml:space="preserve">Ahmed, A., Kozek-Langenecker, S., Mullier, F., Pavord, S., &amp; Hermans, C. (2018). European guidelines on perioperative venous thromboembolism prophylaxis: Patients with preexisting coagulation disorders and after severe perioperative bleeding. </w:t>
        </w:r>
        <w:r w:rsidRPr="003937FD">
          <w:rPr>
            <w:rStyle w:val="Hyperlink"/>
            <w:i/>
            <w:iCs/>
          </w:rPr>
          <w:t>European Journal of Anaesthesiology, 35</w:t>
        </w:r>
        <w:r w:rsidRPr="00860761">
          <w:rPr>
            <w:rStyle w:val="Hyperlink"/>
          </w:rPr>
          <w:t>(2), 96–107. https://doi.org/10.1097/EJA.0000000000000725</w:t>
        </w:r>
      </w:hyperlink>
    </w:p>
    <w:p w14:paraId="47B7A9FD" w14:textId="1D926116" w:rsidR="00EA5BE0" w:rsidRPr="00D237B6" w:rsidRDefault="00EA5BE0" w:rsidP="00860761">
      <w:pPr>
        <w:pStyle w:val="Paragraph"/>
      </w:pPr>
      <w:r w:rsidRPr="00D237B6">
        <w:t xml:space="preserve">Key guideline recommendations for patients with pre-existing coagulation disorders or severe perioperative bleeding undergoing surgery are included in </w:t>
      </w:r>
      <w:r w:rsidRPr="00D237B6">
        <w:rPr>
          <w:b/>
          <w:bCs/>
        </w:rPr>
        <w:t xml:space="preserve">Table </w:t>
      </w:r>
      <w:r w:rsidR="00493DDA">
        <w:rPr>
          <w:b/>
          <w:bCs/>
        </w:rPr>
        <w:t>30</w:t>
      </w:r>
      <w:r w:rsidRPr="00D237B6">
        <w:rPr>
          <w:b/>
          <w:bCs/>
        </w:rPr>
        <w:t xml:space="preserve"> </w:t>
      </w:r>
      <w:r w:rsidRPr="00D237B6">
        <w:t>below.</w:t>
      </w:r>
    </w:p>
    <w:p w14:paraId="6C012F1E" w14:textId="03D872F0" w:rsidR="00EA5BE0" w:rsidRPr="00EA5BE0" w:rsidRDefault="00EA5BE0" w:rsidP="00D237B6">
      <w:pPr>
        <w:pStyle w:val="TableTitle"/>
      </w:pPr>
      <w:r w:rsidRPr="00860761">
        <w:rPr>
          <w:b/>
          <w:bCs/>
        </w:rPr>
        <w:lastRenderedPageBreak/>
        <w:t xml:space="preserve">Table </w:t>
      </w:r>
      <w:r w:rsidR="00493DDA" w:rsidRPr="00860761">
        <w:rPr>
          <w:b/>
          <w:bCs/>
        </w:rPr>
        <w:t>30</w:t>
      </w:r>
      <w:r w:rsidR="00860761" w:rsidRPr="00860761">
        <w:rPr>
          <w:b/>
          <w:bCs/>
        </w:rPr>
        <w:t>.</w:t>
      </w:r>
      <w:r w:rsidRPr="00860761">
        <w:rPr>
          <w:b/>
          <w:bCs/>
        </w:rPr>
        <w:t xml:space="preserve"> </w:t>
      </w:r>
      <w:r w:rsidRPr="00EA5BE0">
        <w:t>ESA (2018)</w:t>
      </w:r>
      <w:r w:rsidR="00D37E2C">
        <w:t xml:space="preserve"> </w:t>
      </w:r>
      <w:r w:rsidR="00C767BA">
        <w:t>Guidelines that support pre-existing coagulation disorders and after severe perioperative bleeding</w:t>
      </w:r>
    </w:p>
    <w:tbl>
      <w:tblPr>
        <w:tblStyle w:val="AlternateTable"/>
        <w:tblW w:w="5000" w:type="pct"/>
        <w:tblLook w:val="04A0" w:firstRow="1" w:lastRow="0" w:firstColumn="1" w:lastColumn="0" w:noHBand="0" w:noVBand="1"/>
      </w:tblPr>
      <w:tblGrid>
        <w:gridCol w:w="9990"/>
        <w:gridCol w:w="1800"/>
        <w:gridCol w:w="1170"/>
      </w:tblGrid>
      <w:tr w:rsidR="00EA5BE0" w:rsidRPr="00EA5BE0" w14:paraId="5E59BFB4" w14:textId="77777777" w:rsidTr="005B19D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990" w:type="dxa"/>
            <w:vAlign w:val="bottom"/>
            <w:hideMark/>
          </w:tcPr>
          <w:p w14:paraId="0479746F" w14:textId="77777777" w:rsidR="00EA5BE0" w:rsidRPr="00EA5BE0" w:rsidRDefault="00EA5BE0" w:rsidP="00582058">
            <w:pPr>
              <w:pStyle w:val="TableHeaderLeft"/>
              <w:rPr>
                <w:b w:val="0"/>
              </w:rPr>
            </w:pPr>
            <w:r w:rsidRPr="00EA5BE0">
              <w:t>Verbatim Guideline</w:t>
            </w:r>
          </w:p>
        </w:tc>
        <w:tc>
          <w:tcPr>
            <w:tcW w:w="1800" w:type="dxa"/>
            <w:vAlign w:val="bottom"/>
            <w:hideMark/>
          </w:tcPr>
          <w:p w14:paraId="42747468" w14:textId="77777777" w:rsidR="00EA5BE0" w:rsidRPr="00EA5BE0" w:rsidRDefault="00EA5BE0" w:rsidP="00582058">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170" w:type="dxa"/>
            <w:vAlign w:val="bottom"/>
            <w:hideMark/>
          </w:tcPr>
          <w:p w14:paraId="08A28876" w14:textId="77777777" w:rsidR="00EA5BE0" w:rsidRPr="00EA5BE0" w:rsidRDefault="00EA5BE0" w:rsidP="00582058">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5B19DE" w:rsidRPr="00EA5BE0" w14:paraId="3BB44A37" w14:textId="77777777" w:rsidTr="005B19DE">
        <w:tc>
          <w:tcPr>
            <w:cnfStyle w:val="001000000000" w:firstRow="0" w:lastRow="0" w:firstColumn="1" w:lastColumn="0" w:oddVBand="0" w:evenVBand="0" w:oddHBand="0" w:evenHBand="0" w:firstRowFirstColumn="0" w:firstRowLastColumn="0" w:lastRowFirstColumn="0" w:lastRowLastColumn="0"/>
            <w:tcW w:w="9990" w:type="dxa"/>
            <w:shd w:val="clear" w:color="auto" w:fill="0B2949" w:themeFill="accent1"/>
          </w:tcPr>
          <w:p w14:paraId="60FAF492" w14:textId="2354DC42" w:rsidR="005B19DE" w:rsidRPr="00EA5BE0" w:rsidRDefault="005B19DE" w:rsidP="005B19DE">
            <w:pPr>
              <w:pStyle w:val="TableRowHead"/>
            </w:pPr>
            <w:r w:rsidRPr="00D237B6">
              <w:t>Patients</w:t>
            </w:r>
            <w:r w:rsidRPr="005B19DE">
              <w:t xml:space="preserve"> with preexisting coagulation disorders and after severe perioperative bleeding</w:t>
            </w:r>
          </w:p>
        </w:tc>
        <w:tc>
          <w:tcPr>
            <w:tcW w:w="1800" w:type="dxa"/>
            <w:shd w:val="clear" w:color="auto" w:fill="0B2949" w:themeFill="accent1"/>
          </w:tcPr>
          <w:p w14:paraId="1685724A" w14:textId="77777777" w:rsidR="005B19DE" w:rsidRPr="00EA5BE0" w:rsidRDefault="005B19DE" w:rsidP="005B19DE">
            <w:pPr>
              <w:pStyle w:val="TableTextCentere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tcPr>
          <w:p w14:paraId="187E2DEB" w14:textId="77777777" w:rsidR="005B19DE" w:rsidRPr="00EA5BE0" w:rsidRDefault="005B19DE" w:rsidP="005B19DE">
            <w:pPr>
              <w:pStyle w:val="TableTextCentered"/>
              <w:cnfStyle w:val="000000000000" w:firstRow="0" w:lastRow="0" w:firstColumn="0" w:lastColumn="0" w:oddVBand="0" w:evenVBand="0" w:oddHBand="0" w:evenHBand="0" w:firstRowFirstColumn="0" w:firstRowLastColumn="0" w:lastRowFirstColumn="0" w:lastRowLastColumn="0"/>
              <w:rPr>
                <w:color w:val="000000"/>
              </w:rPr>
            </w:pPr>
          </w:p>
        </w:tc>
      </w:tr>
      <w:tr w:rsidR="005B19DE" w:rsidRPr="00EA5BE0" w14:paraId="5134B4E8"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66367286" w14:textId="77777777" w:rsidR="005B19DE" w:rsidRPr="00EA5BE0" w:rsidRDefault="005B19DE" w:rsidP="005B19DE">
            <w:pPr>
              <w:pStyle w:val="TableTextLeft"/>
            </w:pPr>
            <w:r w:rsidRPr="00EA5BE0">
              <w:t xml:space="preserve">In patients with inherited bleeding disorders undergoing surgery, we recommend assessment of individual risk of VTE, taking into account the nature of the surgery and </w:t>
            </w:r>
            <w:proofErr w:type="spellStart"/>
            <w:r w:rsidRPr="00EA5BE0">
              <w:t>anaesthetic</w:t>
            </w:r>
            <w:proofErr w:type="spellEnd"/>
            <w:r w:rsidRPr="00EA5BE0">
              <w:t xml:space="preserve">, type and severity of </w:t>
            </w:r>
            <w:proofErr w:type="spellStart"/>
            <w:r w:rsidRPr="00EA5BE0">
              <w:t>haemophilia</w:t>
            </w:r>
            <w:proofErr w:type="spellEnd"/>
            <w:r w:rsidRPr="00EA5BE0">
              <w:t xml:space="preserve">, age, BMI, history of thrombosis and the presence of malignancy and other high-risk comorbidities. VTE risk should be balanced against the increased bleeding risk associated with anticoagulant use in patients with </w:t>
            </w:r>
            <w:proofErr w:type="spellStart"/>
            <w:r w:rsidRPr="00EA5BE0">
              <w:t>haemophilia</w:t>
            </w:r>
            <w:proofErr w:type="spellEnd"/>
            <w:r w:rsidRPr="00EA5BE0">
              <w:t>.</w:t>
            </w:r>
          </w:p>
        </w:tc>
        <w:tc>
          <w:tcPr>
            <w:tcW w:w="1800" w:type="dxa"/>
            <w:hideMark/>
          </w:tcPr>
          <w:p w14:paraId="51D47225"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5E2BCBC2"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185051EE"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6E0D038B" w14:textId="77777777" w:rsidR="005B19DE" w:rsidRPr="00EA5BE0" w:rsidRDefault="005B19DE" w:rsidP="005B19DE">
            <w:pPr>
              <w:pStyle w:val="TableTextLeft"/>
            </w:pPr>
            <w:r w:rsidRPr="00EA5BE0">
              <w:t xml:space="preserve">For the perioperative management of patients with inherited bleeding disorders, we suggest liaison with </w:t>
            </w:r>
            <w:proofErr w:type="spellStart"/>
            <w:r w:rsidRPr="00EA5BE0">
              <w:t>haematologists</w:t>
            </w:r>
            <w:proofErr w:type="spellEnd"/>
            <w:r w:rsidRPr="00EA5BE0">
              <w:t xml:space="preserve"> to guide treatment.</w:t>
            </w:r>
          </w:p>
        </w:tc>
        <w:tc>
          <w:tcPr>
            <w:tcW w:w="1800" w:type="dxa"/>
            <w:hideMark/>
          </w:tcPr>
          <w:p w14:paraId="044DCE7B"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37F6F636"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45B90378"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5C63E8E8" w14:textId="77777777" w:rsidR="005B19DE" w:rsidRPr="00EA5BE0" w:rsidRDefault="005B19DE" w:rsidP="005B19DE">
            <w:pPr>
              <w:pStyle w:val="TableTextLeft"/>
            </w:pPr>
            <w:r w:rsidRPr="00EA5BE0">
              <w:t xml:space="preserve">We suggest that, if factor replacement therapy is required for perioperative </w:t>
            </w:r>
            <w:proofErr w:type="spellStart"/>
            <w:r w:rsidRPr="00EA5BE0">
              <w:t>haemostasis</w:t>
            </w:r>
            <w:proofErr w:type="spellEnd"/>
            <w:r w:rsidRPr="00EA5BE0">
              <w:t>, excess use should be avoided and factor levels carefully monitored.</w:t>
            </w:r>
          </w:p>
        </w:tc>
        <w:tc>
          <w:tcPr>
            <w:tcW w:w="1800" w:type="dxa"/>
            <w:hideMark/>
          </w:tcPr>
          <w:p w14:paraId="7FEAF720"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74178793"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742B3BE7"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65C6F02D" w14:textId="77777777" w:rsidR="005B19DE" w:rsidRPr="00EA5BE0" w:rsidRDefault="005B19DE" w:rsidP="005B19DE">
            <w:pPr>
              <w:pStyle w:val="TableTextLeft"/>
            </w:pPr>
            <w:r w:rsidRPr="00EA5BE0">
              <w:t xml:space="preserve">In patients with inherited bleeding disorders undergoing major surgery, we suggest mechanical thromboprophylaxis, </w:t>
            </w:r>
          </w:p>
        </w:tc>
        <w:tc>
          <w:tcPr>
            <w:tcW w:w="1800" w:type="dxa"/>
            <w:hideMark/>
          </w:tcPr>
          <w:p w14:paraId="1BF8E988"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3723D18F"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2C0E038F"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39A60EC5" w14:textId="77777777" w:rsidR="005B19DE" w:rsidRPr="00EA5BE0" w:rsidRDefault="005B19DE" w:rsidP="005B19DE">
            <w:pPr>
              <w:pStyle w:val="TableTextLeft"/>
            </w:pPr>
            <w:r w:rsidRPr="00EA5BE0">
              <w:t>especially in factor VII deficiency.</w:t>
            </w:r>
          </w:p>
        </w:tc>
        <w:tc>
          <w:tcPr>
            <w:tcW w:w="1800" w:type="dxa"/>
            <w:hideMark/>
          </w:tcPr>
          <w:p w14:paraId="32916D2A"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1015B6AF"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47896E69"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30AB5054" w14:textId="77777777" w:rsidR="005B19DE" w:rsidRPr="00EA5BE0" w:rsidRDefault="005B19DE" w:rsidP="005B19DE">
            <w:pPr>
              <w:pStyle w:val="TableTextLeft"/>
            </w:pPr>
            <w:r w:rsidRPr="00EA5BE0">
              <w:t xml:space="preserve">In patients with inherited bleeding disorders undergoing major surgery, we recommend against routine postoperative use of pharmacological thromboprophylaxis, especially for patients with </w:t>
            </w:r>
            <w:proofErr w:type="spellStart"/>
            <w:r w:rsidRPr="00EA5BE0">
              <w:t>haemophilia</w:t>
            </w:r>
            <w:proofErr w:type="spellEnd"/>
            <w:r w:rsidRPr="00EA5BE0">
              <w:t xml:space="preserve"> A or B.</w:t>
            </w:r>
          </w:p>
        </w:tc>
        <w:tc>
          <w:tcPr>
            <w:tcW w:w="1800" w:type="dxa"/>
            <w:hideMark/>
          </w:tcPr>
          <w:p w14:paraId="37357604"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18FD4695"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5B19DE" w:rsidRPr="00EA5BE0" w14:paraId="6270CBB0"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7E5D9964" w14:textId="77777777" w:rsidR="005B19DE" w:rsidRPr="00EA5BE0" w:rsidRDefault="005B19DE" w:rsidP="005B19DE">
            <w:pPr>
              <w:pStyle w:val="TableTextLeft"/>
            </w:pPr>
            <w:r w:rsidRPr="00EA5BE0">
              <w:t xml:space="preserve">If the balance of risks </w:t>
            </w:r>
            <w:proofErr w:type="spellStart"/>
            <w:r w:rsidRPr="00EA5BE0">
              <w:t>favours</w:t>
            </w:r>
            <w:proofErr w:type="spellEnd"/>
            <w:r w:rsidRPr="00EA5BE0">
              <w:t xml:space="preserve"> pharmacological thromboprophylaxis, we suggest that low molecular weight heparin should be administered as for patients without </w:t>
            </w:r>
            <w:proofErr w:type="spellStart"/>
            <w:r w:rsidRPr="00EA5BE0">
              <w:t>haemophilia</w:t>
            </w:r>
            <w:proofErr w:type="spellEnd"/>
            <w:r w:rsidRPr="00EA5BE0">
              <w:t xml:space="preserve"> undergoing the same surgery, and factor VIII/IX levels should be maintained at 0.6 to</w:t>
            </w:r>
            <w:r w:rsidRPr="00EA5BE0">
              <w:br/>
              <w:t>1.0 IU ml</w:t>
            </w:r>
            <w:r w:rsidRPr="00EA5BE0">
              <w:rPr>
                <w:vertAlign w:val="superscript"/>
              </w:rPr>
              <w:t>-1</w:t>
            </w:r>
            <w:r w:rsidRPr="00EA5BE0">
              <w:t>.</w:t>
            </w:r>
          </w:p>
        </w:tc>
        <w:tc>
          <w:tcPr>
            <w:tcW w:w="1800" w:type="dxa"/>
            <w:hideMark/>
          </w:tcPr>
          <w:p w14:paraId="67D29D11"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15E08C3D"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342B9938"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1C42FC60" w14:textId="77777777" w:rsidR="005B19DE" w:rsidRPr="00EA5BE0" w:rsidRDefault="005B19DE" w:rsidP="005B19DE">
            <w:pPr>
              <w:pStyle w:val="TableTextLeft"/>
            </w:pPr>
            <w:r w:rsidRPr="00EA5BE0">
              <w:t xml:space="preserve">In </w:t>
            </w:r>
            <w:proofErr w:type="spellStart"/>
            <w:r w:rsidRPr="00EA5BE0">
              <w:t>haemophilia</w:t>
            </w:r>
            <w:proofErr w:type="spellEnd"/>
            <w:r w:rsidRPr="00EA5BE0">
              <w:t xml:space="preserve"> patients with inhibitors, we suggest against the use of pharmacological thromboprophylaxis. </w:t>
            </w:r>
          </w:p>
        </w:tc>
        <w:tc>
          <w:tcPr>
            <w:tcW w:w="1800" w:type="dxa"/>
            <w:hideMark/>
          </w:tcPr>
          <w:p w14:paraId="50D8B5C2"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24C1A6E0"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2BA46B0A"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07A1DBE1" w14:textId="77777777" w:rsidR="005B19DE" w:rsidRPr="00EA5BE0" w:rsidRDefault="005B19DE" w:rsidP="005B19DE">
            <w:pPr>
              <w:pStyle w:val="TableTextLeft"/>
            </w:pPr>
            <w:r w:rsidRPr="00EA5BE0">
              <w:t xml:space="preserve">We recommend that patients with </w:t>
            </w:r>
            <w:proofErr w:type="spellStart"/>
            <w:r w:rsidRPr="00EA5BE0">
              <w:t>haemophilia</w:t>
            </w:r>
            <w:proofErr w:type="spellEnd"/>
            <w:r w:rsidRPr="00EA5BE0">
              <w:t xml:space="preserve"> who require perioperative factor concentrate are monitored with daily factor levels for the first 3 to 5 days to guide treatment and avoid wide fluctuations in factor levels.</w:t>
            </w:r>
          </w:p>
        </w:tc>
        <w:tc>
          <w:tcPr>
            <w:tcW w:w="1800" w:type="dxa"/>
            <w:hideMark/>
          </w:tcPr>
          <w:p w14:paraId="677CF4BE"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3FC60B18"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0BFC5C58"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5DAB37DF" w14:textId="77777777" w:rsidR="005B19DE" w:rsidRPr="00EA5BE0" w:rsidRDefault="005B19DE" w:rsidP="005B19DE">
            <w:pPr>
              <w:pStyle w:val="TableTextLeft"/>
            </w:pPr>
            <w:r w:rsidRPr="00EA5BE0">
              <w:t>We recommend that, for major surgery, factor levels of 0.8 to 1.0 IU ml</w:t>
            </w:r>
            <w:r w:rsidRPr="00EA5BE0">
              <w:rPr>
                <w:vertAlign w:val="superscript"/>
              </w:rPr>
              <w:t>-1</w:t>
            </w:r>
            <w:r w:rsidRPr="00EA5BE0">
              <w:t xml:space="preserve"> should be aimed for and not be allowed to fall below 0.5 IU ml</w:t>
            </w:r>
            <w:r w:rsidRPr="00EA5BE0">
              <w:rPr>
                <w:vertAlign w:val="superscript"/>
              </w:rPr>
              <w:t>-1</w:t>
            </w:r>
            <w:r w:rsidRPr="00EA5BE0">
              <w:t xml:space="preserve"> or rise above 1.5 IU ml</w:t>
            </w:r>
            <w:r w:rsidRPr="00EA5BE0">
              <w:rPr>
                <w:vertAlign w:val="superscript"/>
              </w:rPr>
              <w:t>-1</w:t>
            </w:r>
            <w:r w:rsidRPr="00EA5BE0">
              <w:t xml:space="preserve"> in the postoperative period.</w:t>
            </w:r>
          </w:p>
        </w:tc>
        <w:tc>
          <w:tcPr>
            <w:tcW w:w="1800" w:type="dxa"/>
            <w:hideMark/>
          </w:tcPr>
          <w:p w14:paraId="0C8B4CAB"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5708E9C0"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5B19DE" w:rsidRPr="00EA5BE0" w14:paraId="24717EB1"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6B6F5D87" w14:textId="77777777" w:rsidR="005B19DE" w:rsidRPr="00EA5BE0" w:rsidRDefault="005B19DE" w:rsidP="005B19DE">
            <w:pPr>
              <w:pStyle w:val="TableTextLeft"/>
            </w:pPr>
            <w:r w:rsidRPr="00EA5BE0">
              <w:t xml:space="preserve">In general, we recommend against routine thrombophilia screening for patients with </w:t>
            </w:r>
            <w:proofErr w:type="spellStart"/>
            <w:r w:rsidRPr="00EA5BE0">
              <w:t>haemophilia</w:t>
            </w:r>
            <w:proofErr w:type="spellEnd"/>
            <w:r w:rsidRPr="00EA5BE0">
              <w:t xml:space="preserve"> undergoing surgery.</w:t>
            </w:r>
          </w:p>
        </w:tc>
        <w:tc>
          <w:tcPr>
            <w:tcW w:w="1800" w:type="dxa"/>
            <w:hideMark/>
          </w:tcPr>
          <w:p w14:paraId="2A6401C6"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59A4DAFA"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2EE5631D"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311605EC" w14:textId="77777777" w:rsidR="005B19DE" w:rsidRPr="00EA5BE0" w:rsidRDefault="005B19DE" w:rsidP="005B19DE">
            <w:pPr>
              <w:pStyle w:val="TableTextLeft"/>
            </w:pPr>
            <w:r w:rsidRPr="00EA5BE0">
              <w:t>We recommend that patients treated with factor concentrate in the perioperative and postoperative period should have both factor VIII and von Willebrand factor levels monitored to avoid an excessive rise in factor levels and accumulation of factor VIII. We recommend checking levels 12-hourly for the first 24 h after major surgery and daily thereafter.</w:t>
            </w:r>
          </w:p>
        </w:tc>
        <w:tc>
          <w:tcPr>
            <w:tcW w:w="1800" w:type="dxa"/>
            <w:hideMark/>
          </w:tcPr>
          <w:p w14:paraId="34EDFC5C"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28F73628"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5B19DE" w:rsidRPr="00EA5BE0" w14:paraId="7831F56C"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31182D6C" w14:textId="77777777" w:rsidR="005B19DE" w:rsidRPr="00EA5BE0" w:rsidRDefault="005B19DE" w:rsidP="005B19DE">
            <w:pPr>
              <w:pStyle w:val="TableTextLeft"/>
            </w:pPr>
            <w:r w:rsidRPr="00EA5BE0">
              <w:t xml:space="preserve">We recommend that the use of factor concentrate with the highest ratio between </w:t>
            </w:r>
            <w:proofErr w:type="spellStart"/>
            <w:r w:rsidRPr="00EA5BE0">
              <w:t>vWF:RCo</w:t>
            </w:r>
            <w:proofErr w:type="spellEnd"/>
            <w:r w:rsidRPr="00EA5BE0">
              <w:t xml:space="preserve"> and factor VIII:C should be considered, to </w:t>
            </w:r>
            <w:proofErr w:type="spellStart"/>
            <w:r w:rsidRPr="00EA5BE0">
              <w:t>minimise</w:t>
            </w:r>
            <w:proofErr w:type="spellEnd"/>
            <w:r w:rsidRPr="00EA5BE0">
              <w:t xml:space="preserve"> risk of factor VIII accumulation.</w:t>
            </w:r>
          </w:p>
        </w:tc>
        <w:tc>
          <w:tcPr>
            <w:tcW w:w="1800" w:type="dxa"/>
            <w:hideMark/>
          </w:tcPr>
          <w:p w14:paraId="07935291"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39D33F58"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29451605"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2FA12400" w14:textId="77777777" w:rsidR="005B19DE" w:rsidRPr="00EA5BE0" w:rsidRDefault="005B19DE" w:rsidP="005B19DE">
            <w:pPr>
              <w:pStyle w:val="TableTextLeft"/>
            </w:pPr>
            <w:r w:rsidRPr="00EA5BE0">
              <w:t>We recommend that the use of factor XI concentrate is kept to a minimum to avoid increasing the thrombotic risk.</w:t>
            </w:r>
          </w:p>
        </w:tc>
        <w:tc>
          <w:tcPr>
            <w:tcW w:w="1800" w:type="dxa"/>
            <w:hideMark/>
          </w:tcPr>
          <w:p w14:paraId="53EEDFE7"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0E107AD6"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77065582"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5A6A9315" w14:textId="77777777" w:rsidR="005B19DE" w:rsidRPr="00EA5BE0" w:rsidRDefault="005B19DE" w:rsidP="005B19DE">
            <w:pPr>
              <w:pStyle w:val="TableTextLeft"/>
            </w:pPr>
            <w:r w:rsidRPr="00EA5BE0">
              <w:t xml:space="preserve">We recommend that all patients receiving factor XI concentrate have mechanical </w:t>
            </w:r>
            <w:proofErr w:type="spellStart"/>
            <w:r w:rsidRPr="00EA5BE0">
              <w:t>thromboprophylactic</w:t>
            </w:r>
            <w:proofErr w:type="spellEnd"/>
            <w:r w:rsidRPr="00EA5BE0">
              <w:t xml:space="preserve"> measures and </w:t>
            </w:r>
          </w:p>
        </w:tc>
        <w:tc>
          <w:tcPr>
            <w:tcW w:w="1800" w:type="dxa"/>
            <w:hideMark/>
          </w:tcPr>
          <w:p w14:paraId="45998198"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2D0D6C73"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5F4C15A8"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490B6558" w14:textId="77777777" w:rsidR="005B19DE" w:rsidRPr="00EA5BE0" w:rsidRDefault="005B19DE" w:rsidP="005B19DE">
            <w:pPr>
              <w:pStyle w:val="TableTextLeft"/>
            </w:pPr>
            <w:r w:rsidRPr="00EA5BE0">
              <w:lastRenderedPageBreak/>
              <w:t>suggest that they are considered for pharmacological thromboprophylaxis.</w:t>
            </w:r>
          </w:p>
        </w:tc>
        <w:tc>
          <w:tcPr>
            <w:tcW w:w="1800" w:type="dxa"/>
            <w:hideMark/>
          </w:tcPr>
          <w:p w14:paraId="553BCA64"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71D04DF8"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0C23E6CB"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04E7C3E6" w14:textId="77777777" w:rsidR="005B19DE" w:rsidRPr="00EA5BE0" w:rsidRDefault="005B19DE" w:rsidP="005B19DE">
            <w:pPr>
              <w:pStyle w:val="TableTextLeft"/>
            </w:pPr>
            <w:r w:rsidRPr="00EA5BE0">
              <w:t xml:space="preserve">We suggest that tranexamic acid alone is useful for patients with mild factor XI deficiency but should not be given as </w:t>
            </w:r>
            <w:proofErr w:type="spellStart"/>
            <w:r w:rsidRPr="00EA5BE0">
              <w:t>haemostatic</w:t>
            </w:r>
            <w:proofErr w:type="spellEnd"/>
            <w:r w:rsidRPr="00EA5BE0">
              <w:t xml:space="preserve"> prophylaxis to patients receiving factor XI concentrate.</w:t>
            </w:r>
          </w:p>
        </w:tc>
        <w:tc>
          <w:tcPr>
            <w:tcW w:w="1800" w:type="dxa"/>
            <w:hideMark/>
          </w:tcPr>
          <w:p w14:paraId="4A52F751"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6BE6B112"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13BE0559"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5859B8E9" w14:textId="77777777" w:rsidR="005B19DE" w:rsidRPr="00EA5BE0" w:rsidRDefault="005B19DE" w:rsidP="005B19DE">
            <w:pPr>
              <w:pStyle w:val="TableTextLeft"/>
            </w:pPr>
            <w:r w:rsidRPr="00EA5BE0">
              <w:t>In patients with factor VII deficiency, we suggest that they are considered for pharmacological thromboprophylaxis if they have associated risk factors.</w:t>
            </w:r>
          </w:p>
        </w:tc>
        <w:tc>
          <w:tcPr>
            <w:tcW w:w="1800" w:type="dxa"/>
            <w:hideMark/>
          </w:tcPr>
          <w:p w14:paraId="0517A135"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76902A91"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40D319D4"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7BDFE6CB" w14:textId="77777777" w:rsidR="005B19DE" w:rsidRPr="00EA5BE0" w:rsidRDefault="005B19DE" w:rsidP="005B19DE">
            <w:pPr>
              <w:pStyle w:val="TableTextLeft"/>
            </w:pPr>
            <w:r w:rsidRPr="00EA5BE0">
              <w:t>We suggest that for major surgery, fibrinogen levels should be closely monitored aiming to maintain levels 1 to 1.5 g l</w:t>
            </w:r>
            <w:r w:rsidRPr="00EA5BE0">
              <w:rPr>
                <w:vertAlign w:val="superscript"/>
              </w:rPr>
              <w:t>-1</w:t>
            </w:r>
            <w:r w:rsidRPr="00EA5BE0">
              <w:t xml:space="preserve"> for 10 to 14 days postoperatively.</w:t>
            </w:r>
          </w:p>
        </w:tc>
        <w:tc>
          <w:tcPr>
            <w:tcW w:w="1800" w:type="dxa"/>
            <w:hideMark/>
          </w:tcPr>
          <w:p w14:paraId="57A5F42E"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14955B0F"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20EB9AF9"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7D92A983" w14:textId="77777777" w:rsidR="005B19DE" w:rsidRPr="00EA5BE0" w:rsidRDefault="005B19DE" w:rsidP="005B19DE">
            <w:pPr>
              <w:pStyle w:val="TableTextLeft"/>
            </w:pPr>
            <w:r w:rsidRPr="00EA5BE0">
              <w:t>Perioperative management may require simultaneous use of fibrinogen concentrate and low molecular weight heparin, depending on the clinical phenotype.</w:t>
            </w:r>
          </w:p>
        </w:tc>
        <w:tc>
          <w:tcPr>
            <w:tcW w:w="1800" w:type="dxa"/>
            <w:hideMark/>
          </w:tcPr>
          <w:p w14:paraId="7E7DFC13"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423C5DE9"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7D272359"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09A50872" w14:textId="77777777" w:rsidR="005B19DE" w:rsidRPr="00EA5BE0" w:rsidRDefault="005B19DE" w:rsidP="005B19DE">
            <w:pPr>
              <w:pStyle w:val="TableTextLeft"/>
            </w:pPr>
            <w:r w:rsidRPr="00EA5BE0">
              <w:t>Glomerular filtration rate (eGFR) should be assessed before any direct oral anticoagulant (DOAC) is initiated, and at least once yearly or more frequently as needed, such as postoperatively before the resumption of therapeutic DOAC administration, when it is suspected that renal function could decline or deteriorate.</w:t>
            </w:r>
          </w:p>
        </w:tc>
        <w:tc>
          <w:tcPr>
            <w:tcW w:w="1800" w:type="dxa"/>
            <w:hideMark/>
          </w:tcPr>
          <w:p w14:paraId="1B41A38E"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402C4385"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1389C6CD"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61840BF6" w14:textId="77777777" w:rsidR="005B19DE" w:rsidRPr="00EA5BE0" w:rsidRDefault="005B19DE" w:rsidP="005B19DE">
            <w:pPr>
              <w:pStyle w:val="TableTextLeft"/>
            </w:pPr>
            <w:r w:rsidRPr="00EA5BE0">
              <w:t>The use of the Cockroft–Gault method to evaluate renal function of patients with DOAC is suggested.</w:t>
            </w:r>
          </w:p>
        </w:tc>
        <w:tc>
          <w:tcPr>
            <w:tcW w:w="1800" w:type="dxa"/>
            <w:hideMark/>
          </w:tcPr>
          <w:p w14:paraId="21CBB54F"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1EF7627B"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1D52E192"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279C7034" w14:textId="77777777" w:rsidR="005B19DE" w:rsidRPr="00EA5BE0" w:rsidRDefault="005B19DE" w:rsidP="005B19DE">
            <w:pPr>
              <w:pStyle w:val="TableTextLeft"/>
            </w:pPr>
            <w:r w:rsidRPr="00EA5BE0">
              <w:t>We suggest that anti-Xa levels may be measured in cases of severe bleeding in patients with renal impairment receiving low molecular weight heparin.</w:t>
            </w:r>
          </w:p>
        </w:tc>
        <w:tc>
          <w:tcPr>
            <w:tcW w:w="1800" w:type="dxa"/>
            <w:hideMark/>
          </w:tcPr>
          <w:p w14:paraId="37894A8A"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1</w:t>
            </w:r>
          </w:p>
        </w:tc>
        <w:tc>
          <w:tcPr>
            <w:tcW w:w="1170" w:type="dxa"/>
            <w:hideMark/>
          </w:tcPr>
          <w:p w14:paraId="28FD6D32"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53352980"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0FA45FAE" w14:textId="77777777" w:rsidR="005B19DE" w:rsidRPr="00EA5BE0" w:rsidRDefault="005B19DE" w:rsidP="005B19DE">
            <w:pPr>
              <w:pStyle w:val="TableTextLeft"/>
            </w:pPr>
            <w:r w:rsidRPr="00EA5BE0">
              <w:t>Clinical exclusion of signs of postoperative bleeding is more relevant for postponing the commencement of VTE prophylaxis rather than relying on any specific laboratory tests.</w:t>
            </w:r>
          </w:p>
        </w:tc>
        <w:tc>
          <w:tcPr>
            <w:tcW w:w="1800" w:type="dxa"/>
            <w:hideMark/>
          </w:tcPr>
          <w:p w14:paraId="2FF74E2F"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3D7F2EDA"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282543B4"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3985F834" w14:textId="77777777" w:rsidR="005B19DE" w:rsidRPr="00EA5BE0" w:rsidRDefault="005B19DE" w:rsidP="005B19DE">
            <w:pPr>
              <w:pStyle w:val="TableTextLeft"/>
            </w:pPr>
            <w:r w:rsidRPr="00EA5BE0">
              <w:t>We suggest against the systematic use of standard laboratory tests to exclude persistence of acquired perioperative coagulopathy before VTE prophylaxis.</w:t>
            </w:r>
          </w:p>
        </w:tc>
        <w:tc>
          <w:tcPr>
            <w:tcW w:w="1800" w:type="dxa"/>
            <w:hideMark/>
          </w:tcPr>
          <w:p w14:paraId="638FC186"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1D001B55"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r>
      <w:tr w:rsidR="005B19DE" w:rsidRPr="00EA5BE0" w14:paraId="048B7066"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38A3103B" w14:textId="77777777" w:rsidR="005B19DE" w:rsidRPr="00EA5BE0" w:rsidRDefault="005B19DE" w:rsidP="005B19DE">
            <w:pPr>
              <w:pStyle w:val="TableTextLeft"/>
            </w:pPr>
            <w:r w:rsidRPr="00EA5BE0">
              <w:t>Reduced dosages of low molecular weight heparins may be used relatively safely during transient severe (&lt;50 x 10</w:t>
            </w:r>
            <w:r w:rsidRPr="00EA5BE0">
              <w:rPr>
                <w:vertAlign w:val="superscript"/>
              </w:rPr>
              <w:t>9</w:t>
            </w:r>
            <w:r w:rsidRPr="00EA5BE0">
              <w:t xml:space="preserve"> l</w:t>
            </w:r>
            <w:r w:rsidRPr="00EA5BE0">
              <w:rPr>
                <w:vertAlign w:val="superscript"/>
              </w:rPr>
              <w:t>–1</w:t>
            </w:r>
            <w:r w:rsidRPr="00EA5BE0">
              <w:t xml:space="preserve">) </w:t>
            </w:r>
            <w:proofErr w:type="spellStart"/>
            <w:r w:rsidRPr="00EA5BE0">
              <w:t>thrombocytopaenia</w:t>
            </w:r>
            <w:proofErr w:type="spellEnd"/>
            <w:r w:rsidRPr="00EA5BE0">
              <w:t>.</w:t>
            </w:r>
          </w:p>
        </w:tc>
        <w:tc>
          <w:tcPr>
            <w:tcW w:w="1800" w:type="dxa"/>
            <w:hideMark/>
          </w:tcPr>
          <w:p w14:paraId="62B277FB"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73B1BC23"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2EE7C522"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746398E5" w14:textId="77777777" w:rsidR="005B19DE" w:rsidRPr="00EA5BE0" w:rsidRDefault="005B19DE" w:rsidP="005B19DE">
            <w:pPr>
              <w:pStyle w:val="TableTextLeft"/>
            </w:pPr>
            <w:r w:rsidRPr="00EA5BE0">
              <w:t xml:space="preserve">Monitoring anti-Xa level may be used to adjust the doses of low molecular weight heparin in patients with moderate or severe </w:t>
            </w:r>
            <w:proofErr w:type="spellStart"/>
            <w:r w:rsidRPr="00EA5BE0">
              <w:t>thrombocytopaenia</w:t>
            </w:r>
            <w:proofErr w:type="spellEnd"/>
            <w:r w:rsidRPr="00EA5BE0">
              <w:t>.</w:t>
            </w:r>
          </w:p>
        </w:tc>
        <w:tc>
          <w:tcPr>
            <w:tcW w:w="1800" w:type="dxa"/>
            <w:hideMark/>
          </w:tcPr>
          <w:p w14:paraId="2BED90F7"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53DF0C4D"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625052B5"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0C82770E" w14:textId="77777777" w:rsidR="005B19DE" w:rsidRPr="00EA5BE0" w:rsidRDefault="005B19DE" w:rsidP="005B19DE">
            <w:pPr>
              <w:pStyle w:val="TableTextLeft"/>
            </w:pPr>
            <w:r w:rsidRPr="00EA5BE0">
              <w:t xml:space="preserve">In cancer patients or patients with </w:t>
            </w:r>
            <w:proofErr w:type="spellStart"/>
            <w:r w:rsidRPr="00EA5BE0">
              <w:t>haematological</w:t>
            </w:r>
            <w:proofErr w:type="spellEnd"/>
            <w:r w:rsidRPr="00EA5BE0">
              <w:t xml:space="preserve"> disorders and mild </w:t>
            </w:r>
            <w:proofErr w:type="spellStart"/>
            <w:r w:rsidRPr="00EA5BE0">
              <w:t>thrombocytopaenia</w:t>
            </w:r>
            <w:proofErr w:type="spellEnd"/>
            <w:r w:rsidRPr="00EA5BE0">
              <w:t xml:space="preserve"> (platelet count &gt;80 x 10</w:t>
            </w:r>
            <w:r w:rsidRPr="00EA5BE0">
              <w:rPr>
                <w:vertAlign w:val="superscript"/>
              </w:rPr>
              <w:t>9</w:t>
            </w:r>
            <w:r w:rsidRPr="00EA5BE0">
              <w:t xml:space="preserve"> l</w:t>
            </w:r>
            <w:r w:rsidRPr="00EA5BE0">
              <w:rPr>
                <w:vertAlign w:val="superscript"/>
              </w:rPr>
              <w:t>–1</w:t>
            </w:r>
            <w:r w:rsidRPr="00EA5BE0">
              <w:t>), pharmacological prophylaxis may be used; if the platelet count is below 80 x 10</w:t>
            </w:r>
            <w:r w:rsidRPr="00EA5BE0">
              <w:rPr>
                <w:vertAlign w:val="superscript"/>
              </w:rPr>
              <w:t>9</w:t>
            </w:r>
            <w:r w:rsidRPr="00EA5BE0">
              <w:t xml:space="preserve"> l</w:t>
            </w:r>
            <w:r w:rsidRPr="00EA5BE0">
              <w:rPr>
                <w:vertAlign w:val="superscript"/>
              </w:rPr>
              <w:t>–1</w:t>
            </w:r>
            <w:r w:rsidRPr="00EA5BE0">
              <w:t>, pharmacological prophylaxis may only be considered on a case-by-case basis and careful monitoring is recommended.</w:t>
            </w:r>
          </w:p>
        </w:tc>
        <w:tc>
          <w:tcPr>
            <w:tcW w:w="1800" w:type="dxa"/>
            <w:hideMark/>
          </w:tcPr>
          <w:p w14:paraId="041E156D"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1128B910"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18B5A1E3"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3E81D6ED" w14:textId="77777777" w:rsidR="005B19DE" w:rsidRPr="00EA5BE0" w:rsidRDefault="005B19DE" w:rsidP="005B19DE">
            <w:pPr>
              <w:pStyle w:val="TableTextLeft"/>
            </w:pPr>
            <w:r w:rsidRPr="00EA5BE0">
              <w:t xml:space="preserve">Patients with a high thrombotic risk (e.g. mechanical heart valves) may benefit from resuming warfarin therapy despite ongoing risk </w:t>
            </w:r>
            <w:proofErr w:type="gramStart"/>
            <w:r w:rsidRPr="00EA5BE0">
              <w:t>for</w:t>
            </w:r>
            <w:proofErr w:type="gramEnd"/>
            <w:r w:rsidRPr="00EA5BE0">
              <w:t xml:space="preserve"> recurrent gastrointestinal bleeding.</w:t>
            </w:r>
          </w:p>
        </w:tc>
        <w:tc>
          <w:tcPr>
            <w:tcW w:w="1800" w:type="dxa"/>
            <w:hideMark/>
          </w:tcPr>
          <w:p w14:paraId="161F0E87"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407D0F02"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4FBD6709"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0B1032FF" w14:textId="77777777" w:rsidR="005B19DE" w:rsidRPr="00EA5BE0" w:rsidRDefault="005B19DE" w:rsidP="005B19DE">
            <w:pPr>
              <w:pStyle w:val="TableTextLeft"/>
            </w:pPr>
            <w:r w:rsidRPr="00EA5BE0">
              <w:t>Patients with a HAS-BLED score lower than the CHADS</w:t>
            </w:r>
            <w:r w:rsidRPr="00EA5BE0">
              <w:rPr>
                <w:vertAlign w:val="subscript"/>
              </w:rPr>
              <w:t>2</w:t>
            </w:r>
            <w:r w:rsidRPr="00EA5BE0">
              <w:t xml:space="preserve"> score may benefit from earlier resumption.</w:t>
            </w:r>
          </w:p>
        </w:tc>
        <w:tc>
          <w:tcPr>
            <w:tcW w:w="1800" w:type="dxa"/>
            <w:hideMark/>
          </w:tcPr>
          <w:p w14:paraId="07811697"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7E4C49F0"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3B1BF495"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30269F02" w14:textId="77777777" w:rsidR="005B19DE" w:rsidRPr="00EA5BE0" w:rsidRDefault="005B19DE" w:rsidP="005B19DE">
            <w:pPr>
              <w:pStyle w:val="TableTextLeft"/>
            </w:pPr>
            <w:r w:rsidRPr="00EA5BE0">
              <w:t>The delay between major gastrointestinal bleeding and warfarin resumption should be at least 7 days.</w:t>
            </w:r>
          </w:p>
        </w:tc>
        <w:tc>
          <w:tcPr>
            <w:tcW w:w="1800" w:type="dxa"/>
            <w:hideMark/>
          </w:tcPr>
          <w:p w14:paraId="54AEE84A"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5512538C"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46A1E4C8"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3A82BFFC" w14:textId="77777777" w:rsidR="005B19DE" w:rsidRPr="00EA5BE0" w:rsidRDefault="005B19DE" w:rsidP="005B19DE">
            <w:pPr>
              <w:pStyle w:val="TableTextLeft"/>
            </w:pPr>
            <w:r w:rsidRPr="00EA5BE0">
              <w:t xml:space="preserve">We suggest international </w:t>
            </w:r>
            <w:proofErr w:type="spellStart"/>
            <w:r w:rsidRPr="00EA5BE0">
              <w:t>normalised</w:t>
            </w:r>
            <w:proofErr w:type="spellEnd"/>
            <w:r w:rsidRPr="00EA5BE0">
              <w:t xml:space="preserve"> ratio (INR) at the time of bleeding may also be considered to resume anticoagulation.</w:t>
            </w:r>
          </w:p>
        </w:tc>
        <w:tc>
          <w:tcPr>
            <w:tcW w:w="1800" w:type="dxa"/>
            <w:hideMark/>
          </w:tcPr>
          <w:p w14:paraId="450C07CE"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79943AD5"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5AC4D134"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4BD2999B" w14:textId="77777777" w:rsidR="005B19DE" w:rsidRPr="00EA5BE0" w:rsidRDefault="005B19DE" w:rsidP="005B19DE">
            <w:pPr>
              <w:pStyle w:val="TableTextLeft"/>
            </w:pPr>
            <w:r w:rsidRPr="00EA5BE0">
              <w:lastRenderedPageBreak/>
              <w:t>We suggest resuming anticoagulant therapy 12 h after removal of drains in cases of cardiac tamponade.</w:t>
            </w:r>
          </w:p>
        </w:tc>
        <w:tc>
          <w:tcPr>
            <w:tcW w:w="1800" w:type="dxa"/>
            <w:hideMark/>
          </w:tcPr>
          <w:p w14:paraId="695BBE0D"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N/A</w:t>
            </w:r>
          </w:p>
        </w:tc>
        <w:tc>
          <w:tcPr>
            <w:tcW w:w="1170" w:type="dxa"/>
            <w:hideMark/>
          </w:tcPr>
          <w:p w14:paraId="7F96E464"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3B90D80D"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4B9AA1EA" w14:textId="77777777" w:rsidR="005B19DE" w:rsidRPr="00EA5BE0" w:rsidRDefault="005B19DE" w:rsidP="005B19DE">
            <w:pPr>
              <w:pStyle w:val="TableTextLeft"/>
            </w:pPr>
            <w:r w:rsidRPr="00EA5BE0">
              <w:t>When the risk of bleeding diminishes, pharmacological VTE prophylaxis may be initiated depending on thrombotic risk factors.</w:t>
            </w:r>
          </w:p>
        </w:tc>
        <w:tc>
          <w:tcPr>
            <w:tcW w:w="1800" w:type="dxa"/>
            <w:hideMark/>
          </w:tcPr>
          <w:p w14:paraId="064268AD"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3CB66015"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C</w:t>
            </w:r>
          </w:p>
        </w:tc>
      </w:tr>
      <w:tr w:rsidR="005B19DE" w:rsidRPr="00EA5BE0" w14:paraId="6650BE35"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3EBD3D12" w14:textId="77777777" w:rsidR="005B19DE" w:rsidRPr="00EA5BE0" w:rsidRDefault="005B19DE" w:rsidP="005B19DE">
            <w:pPr>
              <w:pStyle w:val="TableTextLeft"/>
            </w:pPr>
            <w:r w:rsidRPr="00EA5BE0">
              <w:t>We recommend that when the risk of postoperative bleeding is higher than the risk of thromboembolic event, full-dose anticoagulation may be resumed 48 or 72 h after the procedure.</w:t>
            </w:r>
          </w:p>
        </w:tc>
        <w:tc>
          <w:tcPr>
            <w:tcW w:w="1800" w:type="dxa"/>
            <w:hideMark/>
          </w:tcPr>
          <w:p w14:paraId="7CDCA6EA"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37FC54DF"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r w:rsidR="005B19DE" w:rsidRPr="00EA5BE0" w14:paraId="74208846" w14:textId="77777777" w:rsidTr="005B19DE">
        <w:tc>
          <w:tcPr>
            <w:cnfStyle w:val="001000000000" w:firstRow="0" w:lastRow="0" w:firstColumn="1" w:lastColumn="0" w:oddVBand="0" w:evenVBand="0" w:oddHBand="0" w:evenHBand="0" w:firstRowFirstColumn="0" w:firstRowLastColumn="0" w:lastRowFirstColumn="0" w:lastRowLastColumn="0"/>
            <w:tcW w:w="9990" w:type="dxa"/>
            <w:hideMark/>
          </w:tcPr>
          <w:p w14:paraId="429DF73B" w14:textId="77777777" w:rsidR="005B19DE" w:rsidRPr="00EA5BE0" w:rsidRDefault="005B19DE" w:rsidP="005B19DE">
            <w:pPr>
              <w:pStyle w:val="TableTextLeft"/>
            </w:pPr>
            <w:r w:rsidRPr="00EA5BE0">
              <w:t>For patients at a high risk of thromboembolism and with a high bleeding risk after surgery, we consider that administering a reduced dose of DOAC on the evening after surgery and on the following day (first postoperative day) after surgery is good practice.</w:t>
            </w:r>
          </w:p>
        </w:tc>
        <w:tc>
          <w:tcPr>
            <w:tcW w:w="1800" w:type="dxa"/>
            <w:hideMark/>
          </w:tcPr>
          <w:p w14:paraId="41227590"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2</w:t>
            </w:r>
          </w:p>
        </w:tc>
        <w:tc>
          <w:tcPr>
            <w:tcW w:w="1170" w:type="dxa"/>
            <w:hideMark/>
          </w:tcPr>
          <w:p w14:paraId="6204FB10"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pPr>
            <w:r w:rsidRPr="00EA5BE0">
              <w:t>B</w:t>
            </w:r>
          </w:p>
        </w:tc>
      </w:tr>
    </w:tbl>
    <w:p w14:paraId="1F18E21D" w14:textId="5602FC7F" w:rsidR="00EA5BE0" w:rsidRPr="00EA5BE0" w:rsidRDefault="00EA5BE0" w:rsidP="001022A9">
      <w:pPr>
        <w:pStyle w:val="H3"/>
        <w:rPr>
          <w:rFonts w:eastAsia="Times New Roman"/>
        </w:rPr>
      </w:pPr>
      <w:bookmarkStart w:id="28" w:name="_Toc195287993"/>
      <w:r w:rsidRPr="00EA5BE0">
        <w:rPr>
          <w:rFonts w:eastAsia="Times New Roman"/>
        </w:rPr>
        <w:t>4.8</w:t>
      </w:r>
      <w:r w:rsidR="00EA4531">
        <w:rPr>
          <w:rFonts w:eastAsia="Times New Roman"/>
        </w:rPr>
        <w:t>.</w:t>
      </w:r>
      <w:r w:rsidR="00EA4531">
        <w:rPr>
          <w:rFonts w:eastAsia="Times New Roman"/>
        </w:rPr>
        <w:tab/>
      </w:r>
      <w:r w:rsidR="00F37395">
        <w:rPr>
          <w:rFonts w:eastAsia="Times New Roman"/>
        </w:rPr>
        <w:t>ESA</w:t>
      </w:r>
      <w:r w:rsidRPr="00EA5BE0">
        <w:rPr>
          <w:rFonts w:eastAsia="Times New Roman"/>
        </w:rPr>
        <w:t>: Inferior vena cava filters</w:t>
      </w:r>
      <w:bookmarkEnd w:id="28"/>
    </w:p>
    <w:p w14:paraId="18A72F9B" w14:textId="77777777" w:rsidR="00EA5BE0" w:rsidRPr="00582058" w:rsidRDefault="00EA5BE0" w:rsidP="00582058">
      <w:pPr>
        <w:pStyle w:val="Paragraph"/>
        <w:rPr>
          <w:rStyle w:val="Hyperlink"/>
        </w:rPr>
      </w:pPr>
      <w:hyperlink r:id="rId29" w:history="1">
        <w:r w:rsidRPr="00582058">
          <w:rPr>
            <w:rStyle w:val="Hyperlink"/>
          </w:rPr>
          <w:t>Comes, R. F., Mismetti, P., &amp; Afshari, A. (2018). European guidelines on perioperative venous thromboembolism prophylaxis: Inferior vena cava filters. European Journal of Anaesthesiology, 35(2), 108–111. https://doi.org/10.1097/EJA.0000000000000730</w:t>
        </w:r>
      </w:hyperlink>
    </w:p>
    <w:p w14:paraId="60DA0235" w14:textId="7D43499C" w:rsidR="00EA5BE0" w:rsidRPr="0094704E" w:rsidRDefault="00EA5BE0" w:rsidP="00582058">
      <w:pPr>
        <w:pStyle w:val="Paragraph"/>
      </w:pPr>
      <w:r w:rsidRPr="0094704E">
        <w:t xml:space="preserve">Key guideline recommendations for venous thromboembolism prophylaxis using inferior vena cava filters in patients undergoing surgery are included in </w:t>
      </w:r>
      <w:r w:rsidRPr="0094704E">
        <w:rPr>
          <w:b/>
          <w:bCs/>
        </w:rPr>
        <w:t xml:space="preserve">Table </w:t>
      </w:r>
      <w:r w:rsidR="00493DDA">
        <w:rPr>
          <w:b/>
          <w:bCs/>
        </w:rPr>
        <w:t>31</w:t>
      </w:r>
      <w:r w:rsidRPr="0094704E">
        <w:t xml:space="preserve"> below.</w:t>
      </w:r>
    </w:p>
    <w:p w14:paraId="26938E3C" w14:textId="7B0CC297" w:rsidR="00EA5BE0" w:rsidRPr="00EA5BE0" w:rsidRDefault="00EA5BE0" w:rsidP="0094704E">
      <w:pPr>
        <w:pStyle w:val="TableTitle"/>
      </w:pPr>
      <w:r w:rsidRPr="00582058">
        <w:rPr>
          <w:b/>
          <w:bCs/>
        </w:rPr>
        <w:t xml:space="preserve">Table </w:t>
      </w:r>
      <w:r w:rsidR="00493DDA" w:rsidRPr="00582058">
        <w:rPr>
          <w:b/>
          <w:bCs/>
        </w:rPr>
        <w:t>31</w:t>
      </w:r>
      <w:r w:rsidR="00582058" w:rsidRPr="00582058">
        <w:rPr>
          <w:b/>
          <w:bCs/>
        </w:rPr>
        <w:t>.</w:t>
      </w:r>
      <w:r w:rsidRPr="00EA5BE0">
        <w:t xml:space="preserve"> ESA (2018)</w:t>
      </w:r>
      <w:r w:rsidR="00D37E2C">
        <w:t xml:space="preserve"> </w:t>
      </w:r>
      <w:r w:rsidR="00EC6742">
        <w:t>Guidelines that support inferior vena cava filters</w:t>
      </w:r>
    </w:p>
    <w:tbl>
      <w:tblPr>
        <w:tblStyle w:val="AlternateTable"/>
        <w:tblW w:w="5000" w:type="pct"/>
        <w:tblLook w:val="04A0" w:firstRow="1" w:lastRow="0" w:firstColumn="1" w:lastColumn="0" w:noHBand="0" w:noVBand="1"/>
      </w:tblPr>
      <w:tblGrid>
        <w:gridCol w:w="9990"/>
        <w:gridCol w:w="1800"/>
        <w:gridCol w:w="1170"/>
      </w:tblGrid>
      <w:tr w:rsidR="00EA5BE0" w:rsidRPr="00EA5BE0" w14:paraId="10F74250" w14:textId="77777777" w:rsidTr="0086465C">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9990" w:type="dxa"/>
            <w:vAlign w:val="bottom"/>
            <w:hideMark/>
          </w:tcPr>
          <w:p w14:paraId="05C46B9E" w14:textId="77777777" w:rsidR="00EA5BE0" w:rsidRPr="00EA5BE0" w:rsidRDefault="00EA5BE0" w:rsidP="005B19DE">
            <w:pPr>
              <w:pStyle w:val="TableHeaderLeft"/>
              <w:rPr>
                <w:b w:val="0"/>
              </w:rPr>
            </w:pPr>
            <w:r w:rsidRPr="00EA5BE0">
              <w:t>Verbatim Guideline</w:t>
            </w:r>
          </w:p>
        </w:tc>
        <w:tc>
          <w:tcPr>
            <w:tcW w:w="1800" w:type="dxa"/>
            <w:vAlign w:val="bottom"/>
            <w:hideMark/>
          </w:tcPr>
          <w:p w14:paraId="5B613B61" w14:textId="77777777" w:rsidR="00EA5BE0" w:rsidRPr="00EA5BE0" w:rsidRDefault="00EA5BE0" w:rsidP="005B19DE">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170" w:type="dxa"/>
            <w:vAlign w:val="bottom"/>
            <w:hideMark/>
          </w:tcPr>
          <w:p w14:paraId="3C2FCDCF" w14:textId="77777777" w:rsidR="00EA5BE0" w:rsidRPr="00EA5BE0" w:rsidRDefault="00EA5BE0" w:rsidP="005B19DE">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5B19DE" w:rsidRPr="00EA5BE0" w14:paraId="68C0A375"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shd w:val="clear" w:color="auto" w:fill="0B2949" w:themeFill="accent1"/>
          </w:tcPr>
          <w:p w14:paraId="5A59AFFF" w14:textId="297AE359" w:rsidR="005B19DE" w:rsidRPr="00EA5BE0" w:rsidRDefault="005B19DE" w:rsidP="0086465C">
            <w:pPr>
              <w:pStyle w:val="TableRowHead"/>
              <w:rPr>
                <w:color w:val="000000"/>
              </w:rPr>
            </w:pPr>
            <w:r w:rsidRPr="0094704E">
              <w:t>Inferior</w:t>
            </w:r>
            <w:r w:rsidRPr="005B19DE">
              <w:t xml:space="preserve"> vena cava filters</w:t>
            </w:r>
          </w:p>
        </w:tc>
        <w:tc>
          <w:tcPr>
            <w:tcW w:w="1800" w:type="dxa"/>
            <w:shd w:val="clear" w:color="auto" w:fill="0B2949" w:themeFill="accent1"/>
          </w:tcPr>
          <w:p w14:paraId="3DC1C066" w14:textId="77777777" w:rsidR="005B19DE" w:rsidRPr="00EA5BE0" w:rsidRDefault="005B19DE" w:rsidP="0086465C">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tcPr>
          <w:p w14:paraId="4CFEDF12" w14:textId="77777777" w:rsidR="005B19DE" w:rsidRPr="00EA5BE0" w:rsidRDefault="005B19DE" w:rsidP="0086465C">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5B19DE" w:rsidRPr="00EA5BE0" w14:paraId="167F64B6"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3394E912" w14:textId="77777777" w:rsidR="005B19DE" w:rsidRPr="00EA5BE0" w:rsidRDefault="005B19DE" w:rsidP="005B19DE">
            <w:pPr>
              <w:pStyle w:val="TableTextLeft"/>
            </w:pPr>
            <w:r w:rsidRPr="00EA5BE0">
              <w:t>There is currently no clear evidence on the efficacy and safety of IVCFs in patients with a contra-indication to pharmacological and mechanical thromboprophylaxis undergoing high thrombotic risk surgery or procedures.</w:t>
            </w:r>
          </w:p>
        </w:tc>
        <w:tc>
          <w:tcPr>
            <w:tcW w:w="1800" w:type="dxa"/>
            <w:hideMark/>
          </w:tcPr>
          <w:p w14:paraId="72BE1BB9"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N/A</w:t>
            </w:r>
          </w:p>
        </w:tc>
        <w:tc>
          <w:tcPr>
            <w:tcW w:w="1170" w:type="dxa"/>
            <w:hideMark/>
          </w:tcPr>
          <w:p w14:paraId="023A6D4A"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B</w:t>
            </w:r>
          </w:p>
        </w:tc>
      </w:tr>
      <w:tr w:rsidR="005B19DE" w:rsidRPr="00EA5BE0" w14:paraId="2E8E91E2"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30474FC5" w14:textId="77777777" w:rsidR="005B19DE" w:rsidRPr="00EA5BE0" w:rsidRDefault="005B19DE" w:rsidP="005B19DE">
            <w:pPr>
              <w:pStyle w:val="TableTextLeft"/>
            </w:pPr>
            <w:r w:rsidRPr="00EA5BE0">
              <w:t>IVCF-associated complications often seem to outweigh any potential benefit.</w:t>
            </w:r>
          </w:p>
        </w:tc>
        <w:tc>
          <w:tcPr>
            <w:tcW w:w="1800" w:type="dxa"/>
            <w:noWrap/>
            <w:hideMark/>
          </w:tcPr>
          <w:p w14:paraId="3ACC0525"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 N/A</w:t>
            </w:r>
          </w:p>
        </w:tc>
        <w:tc>
          <w:tcPr>
            <w:tcW w:w="1170" w:type="dxa"/>
            <w:noWrap/>
            <w:hideMark/>
          </w:tcPr>
          <w:p w14:paraId="3FEE2858"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B</w:t>
            </w:r>
          </w:p>
        </w:tc>
      </w:tr>
      <w:tr w:rsidR="005B19DE" w:rsidRPr="00EA5BE0" w14:paraId="0F647911"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2E7F63BE" w14:textId="77777777" w:rsidR="005B19DE" w:rsidRPr="00EA5BE0" w:rsidRDefault="005B19DE" w:rsidP="005B19DE">
            <w:pPr>
              <w:pStyle w:val="TableTextLeft"/>
            </w:pPr>
            <w:r w:rsidRPr="00EA5BE0">
              <w:t>We suggest considering temporary IVCF placement in patients at high VTE risk when pharmacological and mechanical thromboprophylaxis are fully contraindicated.</w:t>
            </w:r>
          </w:p>
        </w:tc>
        <w:tc>
          <w:tcPr>
            <w:tcW w:w="1800" w:type="dxa"/>
            <w:noWrap/>
            <w:hideMark/>
          </w:tcPr>
          <w:p w14:paraId="6822454A"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2</w:t>
            </w:r>
          </w:p>
        </w:tc>
        <w:tc>
          <w:tcPr>
            <w:tcW w:w="1170" w:type="dxa"/>
            <w:noWrap/>
            <w:hideMark/>
          </w:tcPr>
          <w:p w14:paraId="05C91CDA"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w:t>
            </w:r>
          </w:p>
        </w:tc>
      </w:tr>
      <w:tr w:rsidR="005B19DE" w:rsidRPr="00EA5BE0" w14:paraId="5B0F0568"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1C85388D" w14:textId="77777777" w:rsidR="005B19DE" w:rsidRPr="00EA5BE0" w:rsidRDefault="005B19DE" w:rsidP="005B19DE">
            <w:pPr>
              <w:pStyle w:val="TableTextLeft"/>
            </w:pPr>
            <w:r w:rsidRPr="00EA5BE0">
              <w:t>We suggest considering temporary IVCF placement in patients with documented recent DVT, and with an absolute contra-indication for full anticoagulation and planned non-deferrable major surgery.</w:t>
            </w:r>
          </w:p>
        </w:tc>
        <w:tc>
          <w:tcPr>
            <w:tcW w:w="1800" w:type="dxa"/>
            <w:noWrap/>
            <w:hideMark/>
          </w:tcPr>
          <w:p w14:paraId="3DD7359E"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2</w:t>
            </w:r>
          </w:p>
        </w:tc>
        <w:tc>
          <w:tcPr>
            <w:tcW w:w="1170" w:type="dxa"/>
            <w:noWrap/>
            <w:hideMark/>
          </w:tcPr>
          <w:p w14:paraId="0430B150"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C</w:t>
            </w:r>
          </w:p>
        </w:tc>
      </w:tr>
      <w:tr w:rsidR="005B19DE" w:rsidRPr="00EA5BE0" w14:paraId="1DCC282F"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6A4F3B39" w14:textId="77777777" w:rsidR="005B19DE" w:rsidRPr="00EA5BE0" w:rsidRDefault="005B19DE" w:rsidP="005B19DE">
            <w:pPr>
              <w:pStyle w:val="TableTextLeft"/>
            </w:pPr>
            <w:r w:rsidRPr="00EA5BE0">
              <w:t>We suggest not systematically using IVCFs to prevent pulmonary embolism in the perioperative setting.</w:t>
            </w:r>
          </w:p>
        </w:tc>
        <w:tc>
          <w:tcPr>
            <w:tcW w:w="1800" w:type="dxa"/>
            <w:noWrap/>
            <w:hideMark/>
          </w:tcPr>
          <w:p w14:paraId="7C9FEEBE"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2</w:t>
            </w:r>
          </w:p>
        </w:tc>
        <w:tc>
          <w:tcPr>
            <w:tcW w:w="1170" w:type="dxa"/>
            <w:noWrap/>
            <w:hideMark/>
          </w:tcPr>
          <w:p w14:paraId="1E96E497" w14:textId="77777777" w:rsidR="005B19DE" w:rsidRPr="00EA5BE0" w:rsidRDefault="005B19DE" w:rsidP="005B19DE">
            <w:pPr>
              <w:pStyle w:val="TableTextLeft"/>
              <w:cnfStyle w:val="000000000000" w:firstRow="0" w:lastRow="0" w:firstColumn="0" w:lastColumn="0" w:oddVBand="0" w:evenVBand="0" w:oddHBand="0" w:evenHBand="0" w:firstRowFirstColumn="0" w:firstRowLastColumn="0" w:lastRowFirstColumn="0" w:lastRowLastColumn="0"/>
              <w:rPr>
                <w:color w:val="000000"/>
              </w:rPr>
            </w:pPr>
            <w:r w:rsidRPr="00EA5BE0">
              <w:rPr>
                <w:color w:val="000000"/>
              </w:rPr>
              <w:t>B</w:t>
            </w:r>
          </w:p>
        </w:tc>
      </w:tr>
    </w:tbl>
    <w:p w14:paraId="56411894" w14:textId="23FFF085" w:rsidR="00421527" w:rsidRPr="00EA5BE0" w:rsidRDefault="00421527" w:rsidP="00421527">
      <w:pPr>
        <w:pStyle w:val="H3"/>
        <w:rPr>
          <w:rFonts w:eastAsia="Times New Roman"/>
        </w:rPr>
      </w:pPr>
      <w:bookmarkStart w:id="29" w:name="_Toc195287994"/>
      <w:r>
        <w:rPr>
          <w:rFonts w:eastAsia="MS Gothic"/>
        </w:rPr>
        <w:t>4.9</w:t>
      </w:r>
      <w:r w:rsidR="0086465C">
        <w:rPr>
          <w:rFonts w:eastAsia="MS Gothic"/>
        </w:rPr>
        <w:t>.</w:t>
      </w:r>
      <w:r w:rsidR="0086465C">
        <w:rPr>
          <w:rFonts w:eastAsia="MS Gothic"/>
        </w:rPr>
        <w:tab/>
      </w:r>
      <w:r w:rsidR="00F37395">
        <w:rPr>
          <w:rFonts w:eastAsia="Times New Roman"/>
        </w:rPr>
        <w:t>ESA</w:t>
      </w:r>
      <w:r w:rsidR="005B4576">
        <w:rPr>
          <w:rFonts w:eastAsia="Times New Roman"/>
        </w:rPr>
        <w:t>.</w:t>
      </w:r>
      <w:r w:rsidRPr="00EA5BE0">
        <w:rPr>
          <w:rFonts w:eastAsia="Times New Roman"/>
        </w:rPr>
        <w:t xml:space="preserve"> </w:t>
      </w:r>
      <w:proofErr w:type="spellStart"/>
      <w:r w:rsidR="000359FA">
        <w:rPr>
          <w:rFonts w:eastAsia="Times New Roman"/>
        </w:rPr>
        <w:t>Nonambulatory</w:t>
      </w:r>
      <w:proofErr w:type="spellEnd"/>
      <w:r w:rsidR="000359FA">
        <w:rPr>
          <w:rFonts w:eastAsia="Times New Roman"/>
        </w:rPr>
        <w:t xml:space="preserve"> </w:t>
      </w:r>
      <w:proofErr w:type="spellStart"/>
      <w:r w:rsidR="000359FA">
        <w:rPr>
          <w:rFonts w:eastAsia="Times New Roman"/>
        </w:rPr>
        <w:t>orthopaedic</w:t>
      </w:r>
      <w:proofErr w:type="spellEnd"/>
      <w:r w:rsidR="000359FA">
        <w:rPr>
          <w:rFonts w:eastAsia="Times New Roman"/>
        </w:rPr>
        <w:t xml:space="preserve"> surgery</w:t>
      </w:r>
      <w:bookmarkEnd w:id="29"/>
      <w:r w:rsidR="000359FA">
        <w:rPr>
          <w:rFonts w:eastAsia="Times New Roman"/>
        </w:rPr>
        <w:t xml:space="preserve"> </w:t>
      </w:r>
    </w:p>
    <w:p w14:paraId="5F3D4B79" w14:textId="4C34DBAC" w:rsidR="000E5C74" w:rsidRPr="0094704E" w:rsidRDefault="000E5C74" w:rsidP="005B4576">
      <w:pPr>
        <w:pStyle w:val="Paragraph"/>
      </w:pPr>
      <w:r w:rsidRPr="0094704E">
        <w:t xml:space="preserve">Key guideline recommendations for </w:t>
      </w:r>
      <w:proofErr w:type="spellStart"/>
      <w:r>
        <w:t>nonambulatory</w:t>
      </w:r>
      <w:proofErr w:type="spellEnd"/>
      <w:r>
        <w:t xml:space="preserve"> orthopedic surgery </w:t>
      </w:r>
      <w:r w:rsidR="00B05334">
        <w:t>patients</w:t>
      </w:r>
      <w:r w:rsidRPr="0094704E">
        <w:t xml:space="preserve"> are included in </w:t>
      </w:r>
      <w:r w:rsidRPr="0094704E">
        <w:rPr>
          <w:b/>
          <w:bCs/>
        </w:rPr>
        <w:t xml:space="preserve">Table </w:t>
      </w:r>
      <w:r w:rsidR="00493DDA">
        <w:rPr>
          <w:b/>
          <w:bCs/>
        </w:rPr>
        <w:t>32</w:t>
      </w:r>
      <w:r w:rsidRPr="0094704E">
        <w:t xml:space="preserve"> below.</w:t>
      </w:r>
    </w:p>
    <w:p w14:paraId="2B25F89C" w14:textId="390EACCA" w:rsidR="000359FA" w:rsidRPr="00EA5BE0" w:rsidRDefault="000359FA" w:rsidP="000359FA">
      <w:pPr>
        <w:pStyle w:val="TableTitle"/>
      </w:pPr>
      <w:r w:rsidRPr="005B4576">
        <w:rPr>
          <w:b/>
          <w:bCs/>
        </w:rPr>
        <w:lastRenderedPageBreak/>
        <w:t>Table</w:t>
      </w:r>
      <w:r w:rsidR="000E5C74" w:rsidRPr="005B4576">
        <w:rPr>
          <w:b/>
          <w:bCs/>
        </w:rPr>
        <w:t xml:space="preserve"> </w:t>
      </w:r>
      <w:r w:rsidR="00493DDA" w:rsidRPr="005B4576">
        <w:rPr>
          <w:b/>
          <w:bCs/>
        </w:rPr>
        <w:t>32</w:t>
      </w:r>
      <w:r w:rsidR="005B4576" w:rsidRPr="005B4576">
        <w:rPr>
          <w:b/>
          <w:bCs/>
        </w:rPr>
        <w:t>.</w:t>
      </w:r>
      <w:r w:rsidR="000E5C74">
        <w:t xml:space="preserve"> ESA (2024)</w:t>
      </w:r>
      <w:r w:rsidR="00D37E2C">
        <w:t xml:space="preserve"> </w:t>
      </w:r>
      <w:r w:rsidR="00913B9D">
        <w:t>Guidelines</w:t>
      </w:r>
      <w:r w:rsidR="000E5C74" w:rsidRPr="000E5C74">
        <w:t xml:space="preserve"> that support </w:t>
      </w:r>
      <w:proofErr w:type="spellStart"/>
      <w:r w:rsidR="000E5C74">
        <w:t>nonambulatory</w:t>
      </w:r>
      <w:proofErr w:type="spellEnd"/>
      <w:r w:rsidR="000E5C74">
        <w:t xml:space="preserve"> </w:t>
      </w:r>
      <w:proofErr w:type="spellStart"/>
      <w:r w:rsidR="000E5C74">
        <w:t>orthopaedic</w:t>
      </w:r>
      <w:proofErr w:type="spellEnd"/>
      <w:r w:rsidR="000E5C74">
        <w:t xml:space="preserve"> surgery </w:t>
      </w:r>
    </w:p>
    <w:tbl>
      <w:tblPr>
        <w:tblStyle w:val="AlternateTable"/>
        <w:tblW w:w="5000" w:type="pct"/>
        <w:tblLook w:val="04A0" w:firstRow="1" w:lastRow="0" w:firstColumn="1" w:lastColumn="0" w:noHBand="0" w:noVBand="1"/>
      </w:tblPr>
      <w:tblGrid>
        <w:gridCol w:w="9990"/>
        <w:gridCol w:w="1800"/>
        <w:gridCol w:w="1170"/>
      </w:tblGrid>
      <w:tr w:rsidR="000359FA" w:rsidRPr="00EA5BE0" w14:paraId="572B0E0E" w14:textId="77777777" w:rsidTr="0086465C">
        <w:trPr>
          <w:cnfStyle w:val="100000000000" w:firstRow="1" w:lastRow="0" w:firstColumn="0" w:lastColumn="0" w:oddVBand="0" w:evenVBand="0" w:oddHBand="0" w:evenHBand="0" w:firstRowFirstColumn="0" w:firstRowLastColumn="0" w:lastRowFirstColumn="0" w:lastRowLastColumn="0"/>
          <w:trHeight w:val="120"/>
          <w:tblHeader/>
        </w:trPr>
        <w:tc>
          <w:tcPr>
            <w:cnfStyle w:val="001000000000" w:firstRow="0" w:lastRow="0" w:firstColumn="1" w:lastColumn="0" w:oddVBand="0" w:evenVBand="0" w:oddHBand="0" w:evenHBand="0" w:firstRowFirstColumn="0" w:firstRowLastColumn="0" w:lastRowFirstColumn="0" w:lastRowLastColumn="0"/>
            <w:tcW w:w="9990" w:type="dxa"/>
            <w:vAlign w:val="bottom"/>
            <w:hideMark/>
          </w:tcPr>
          <w:p w14:paraId="6ABF3A15" w14:textId="77777777" w:rsidR="000359FA" w:rsidRPr="00EA5BE0" w:rsidRDefault="000359FA" w:rsidP="005B4576">
            <w:pPr>
              <w:pStyle w:val="TableHeaderLeft"/>
              <w:rPr>
                <w:b w:val="0"/>
              </w:rPr>
            </w:pPr>
            <w:r w:rsidRPr="00EA5BE0">
              <w:t>Verbatim Guideline</w:t>
            </w:r>
          </w:p>
        </w:tc>
        <w:tc>
          <w:tcPr>
            <w:tcW w:w="1800" w:type="dxa"/>
            <w:vAlign w:val="bottom"/>
            <w:hideMark/>
          </w:tcPr>
          <w:p w14:paraId="4524276C" w14:textId="77777777" w:rsidR="000359FA" w:rsidRPr="00EA5BE0" w:rsidRDefault="000359FA" w:rsidP="005B4576">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Recommendation</w:t>
            </w:r>
          </w:p>
        </w:tc>
        <w:tc>
          <w:tcPr>
            <w:tcW w:w="1170" w:type="dxa"/>
            <w:vAlign w:val="bottom"/>
            <w:hideMark/>
          </w:tcPr>
          <w:p w14:paraId="17093460" w14:textId="77777777" w:rsidR="000359FA" w:rsidRPr="00EA5BE0" w:rsidRDefault="000359FA" w:rsidP="005B4576">
            <w:pPr>
              <w:pStyle w:val="TableHeaderCenter"/>
              <w:cnfStyle w:val="100000000000" w:firstRow="1" w:lastRow="0" w:firstColumn="0" w:lastColumn="0" w:oddVBand="0" w:evenVBand="0" w:oddHBand="0" w:evenHBand="0" w:firstRowFirstColumn="0" w:firstRowLastColumn="0" w:lastRowFirstColumn="0" w:lastRowLastColumn="0"/>
              <w:rPr>
                <w:b w:val="0"/>
              </w:rPr>
            </w:pPr>
            <w:r w:rsidRPr="00EA5BE0">
              <w:t>Strength of Evidence</w:t>
            </w:r>
          </w:p>
        </w:tc>
      </w:tr>
      <w:tr w:rsidR="005B4576" w:rsidRPr="00EA5BE0" w14:paraId="182254C2"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shd w:val="clear" w:color="auto" w:fill="0B2949" w:themeFill="accent1"/>
          </w:tcPr>
          <w:p w14:paraId="6ED19344" w14:textId="27B25805" w:rsidR="005B4576" w:rsidRPr="005A7197" w:rsidRDefault="005B4576" w:rsidP="005B4576">
            <w:pPr>
              <w:pStyle w:val="TableRowHead"/>
              <w:rPr>
                <w:color w:val="000000"/>
              </w:rPr>
            </w:pPr>
            <w:proofErr w:type="spellStart"/>
            <w:r w:rsidRPr="005A7197">
              <w:t>Nonambulatory</w:t>
            </w:r>
            <w:proofErr w:type="spellEnd"/>
            <w:r w:rsidRPr="005A7197">
              <w:t xml:space="preserve"> </w:t>
            </w:r>
            <w:proofErr w:type="spellStart"/>
            <w:r w:rsidRPr="005A7197">
              <w:t>orthopaedic</w:t>
            </w:r>
            <w:proofErr w:type="spellEnd"/>
            <w:r w:rsidRPr="005A7197">
              <w:t xml:space="preserve"> surgery: preoperative period</w:t>
            </w:r>
          </w:p>
        </w:tc>
        <w:tc>
          <w:tcPr>
            <w:tcW w:w="1800" w:type="dxa"/>
            <w:shd w:val="clear" w:color="auto" w:fill="0B2949" w:themeFill="accent1"/>
          </w:tcPr>
          <w:p w14:paraId="790B9342" w14:textId="77777777" w:rsidR="005B4576" w:rsidRPr="005A7197" w:rsidRDefault="005B4576" w:rsidP="005B4576">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tcPr>
          <w:p w14:paraId="4C1D390C" w14:textId="77777777" w:rsidR="005B4576" w:rsidRPr="005A7197" w:rsidRDefault="005B4576" w:rsidP="005B4576">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5B4576" w:rsidRPr="00EA5BE0" w14:paraId="558203A8"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112ED4B0" w14:textId="59E93BAD" w:rsidR="005B4576" w:rsidRPr="005A7197" w:rsidRDefault="005B4576" w:rsidP="005B4576">
            <w:pPr>
              <w:pStyle w:val="TableTextLeft"/>
            </w:pPr>
            <w:r w:rsidRPr="005A7197">
              <w:t>We suggest routine patient-specific over population-based preoperative evaluation of the risk of VTE and bleeding according to the type of procedure and the planned postoperative course (fast-track or standard postoperative procedure).</w:t>
            </w:r>
          </w:p>
        </w:tc>
        <w:tc>
          <w:tcPr>
            <w:tcW w:w="1800" w:type="dxa"/>
            <w:hideMark/>
          </w:tcPr>
          <w:p w14:paraId="4CA22A38" w14:textId="717BEF16"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2</w:t>
            </w:r>
          </w:p>
        </w:tc>
        <w:tc>
          <w:tcPr>
            <w:tcW w:w="1170" w:type="dxa"/>
            <w:hideMark/>
          </w:tcPr>
          <w:p w14:paraId="043A8EB9" w14:textId="77777777"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B</w:t>
            </w:r>
          </w:p>
        </w:tc>
      </w:tr>
      <w:tr w:rsidR="005B4576" w:rsidRPr="00EA5BE0" w14:paraId="02C32593"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shd w:val="clear" w:color="auto" w:fill="0B2949" w:themeFill="accent1"/>
          </w:tcPr>
          <w:p w14:paraId="34ECCE79" w14:textId="14449453" w:rsidR="005B4576" w:rsidRPr="005A7197" w:rsidRDefault="005B4576" w:rsidP="005B4576">
            <w:pPr>
              <w:pStyle w:val="TableRowHead"/>
              <w:rPr>
                <w:color w:val="000000"/>
              </w:rPr>
            </w:pPr>
            <w:proofErr w:type="spellStart"/>
            <w:r w:rsidRPr="005A7197">
              <w:t>Nonambulatory</w:t>
            </w:r>
            <w:proofErr w:type="spellEnd"/>
            <w:r w:rsidRPr="005A7197">
              <w:t xml:space="preserve"> </w:t>
            </w:r>
            <w:proofErr w:type="spellStart"/>
            <w:r w:rsidRPr="005A7197">
              <w:t>orthopaedic</w:t>
            </w:r>
            <w:proofErr w:type="spellEnd"/>
            <w:r w:rsidRPr="005A7197">
              <w:t xml:space="preserve"> surgery: postoperative period</w:t>
            </w:r>
          </w:p>
        </w:tc>
        <w:tc>
          <w:tcPr>
            <w:tcW w:w="1800" w:type="dxa"/>
            <w:shd w:val="clear" w:color="auto" w:fill="0B2949" w:themeFill="accent1"/>
            <w:noWrap/>
          </w:tcPr>
          <w:p w14:paraId="7BB9C727" w14:textId="77777777" w:rsidR="005B4576" w:rsidRPr="005A7197" w:rsidRDefault="005B4576" w:rsidP="005B4576">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170" w:type="dxa"/>
            <w:shd w:val="clear" w:color="auto" w:fill="0B2949" w:themeFill="accent1"/>
            <w:noWrap/>
          </w:tcPr>
          <w:p w14:paraId="211A2326" w14:textId="77777777" w:rsidR="005B4576" w:rsidRPr="005A7197" w:rsidRDefault="005B4576" w:rsidP="005B4576">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5B4576" w:rsidRPr="00EA5BE0" w14:paraId="2A1D982F"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77D32390" w14:textId="63A3456B" w:rsidR="005B4576" w:rsidRPr="005A7197" w:rsidRDefault="005B4576" w:rsidP="005B4576">
            <w:pPr>
              <w:pStyle w:val="TableTextLeft"/>
            </w:pPr>
            <w:r w:rsidRPr="005A7197">
              <w:t xml:space="preserve">We recommend routine fast-track procedures including early ambulation and joint </w:t>
            </w:r>
            <w:proofErr w:type="spellStart"/>
            <w:r w:rsidRPr="005A7197">
              <w:t>mobilisation</w:t>
            </w:r>
            <w:proofErr w:type="spellEnd"/>
            <w:r w:rsidRPr="005A7197">
              <w:t xml:space="preserve"> over timing of procedures based on convenience.</w:t>
            </w:r>
          </w:p>
        </w:tc>
        <w:tc>
          <w:tcPr>
            <w:tcW w:w="1800" w:type="dxa"/>
            <w:noWrap/>
            <w:hideMark/>
          </w:tcPr>
          <w:p w14:paraId="7A083BDA" w14:textId="581556F8"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 1</w:t>
            </w:r>
          </w:p>
        </w:tc>
        <w:tc>
          <w:tcPr>
            <w:tcW w:w="1170" w:type="dxa"/>
            <w:noWrap/>
            <w:hideMark/>
          </w:tcPr>
          <w:p w14:paraId="28ED13CE" w14:textId="77777777"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B</w:t>
            </w:r>
          </w:p>
        </w:tc>
      </w:tr>
      <w:tr w:rsidR="005B4576" w:rsidRPr="00EA5BE0" w14:paraId="5B0E2509"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4C640E74" w14:textId="09AB1774" w:rsidR="005B4576" w:rsidRPr="005A7197" w:rsidRDefault="005B4576" w:rsidP="005B4576">
            <w:pPr>
              <w:pStyle w:val="TableTextLeft"/>
            </w:pPr>
            <w:r w:rsidRPr="005A7197">
              <w:t>Low VTE risk surgery: no patient-related risk factor: We suggest no pharmacological VTE prophylaxis for procedures with low VTE risk for a patient without high personal risk of VTE.</w:t>
            </w:r>
          </w:p>
        </w:tc>
        <w:tc>
          <w:tcPr>
            <w:tcW w:w="1800" w:type="dxa"/>
            <w:noWrap/>
            <w:hideMark/>
          </w:tcPr>
          <w:p w14:paraId="358B47A4" w14:textId="77777777"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2</w:t>
            </w:r>
          </w:p>
        </w:tc>
        <w:tc>
          <w:tcPr>
            <w:tcW w:w="1170" w:type="dxa"/>
            <w:noWrap/>
            <w:hideMark/>
          </w:tcPr>
          <w:p w14:paraId="3B482DB4" w14:textId="0FA2ABC4"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B</w:t>
            </w:r>
          </w:p>
        </w:tc>
      </w:tr>
      <w:tr w:rsidR="005B4576" w:rsidRPr="00EA5BE0" w14:paraId="5B416471"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48AFB185" w14:textId="18D69587" w:rsidR="005B4576" w:rsidRPr="005A7197" w:rsidRDefault="005B4576" w:rsidP="005B4576">
            <w:pPr>
              <w:pStyle w:val="TableTextLeft"/>
            </w:pPr>
            <w:r w:rsidRPr="005A7197">
              <w:t xml:space="preserve">Additional patient-related risk factor for VTE and no high risk of bleeding: We suggest pharmacological VTE prophylaxis with either LMWH or DOACs over no VTE prophylaxis for procedures with low VTE risk for a patient with high personal risk of VTE. We are unable to propose a recommendation in </w:t>
            </w:r>
            <w:proofErr w:type="spellStart"/>
            <w:r w:rsidRPr="005A7197">
              <w:t>favour</w:t>
            </w:r>
            <w:proofErr w:type="spellEnd"/>
            <w:r w:rsidRPr="005A7197">
              <w:t xml:space="preserve"> or against the use of aspirin.</w:t>
            </w:r>
          </w:p>
        </w:tc>
        <w:tc>
          <w:tcPr>
            <w:tcW w:w="1800" w:type="dxa"/>
            <w:noWrap/>
            <w:hideMark/>
          </w:tcPr>
          <w:p w14:paraId="173A20B2" w14:textId="77777777"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2</w:t>
            </w:r>
          </w:p>
        </w:tc>
        <w:tc>
          <w:tcPr>
            <w:tcW w:w="1170" w:type="dxa"/>
            <w:noWrap/>
            <w:hideMark/>
          </w:tcPr>
          <w:p w14:paraId="2C051D4A" w14:textId="599FCCB4"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B</w:t>
            </w:r>
          </w:p>
        </w:tc>
      </w:tr>
      <w:tr w:rsidR="005B4576" w:rsidRPr="00EA5BE0" w14:paraId="51398F79"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tcPr>
          <w:p w14:paraId="7DDB2E08" w14:textId="29C44EB2" w:rsidR="005B4576" w:rsidRPr="005A7197" w:rsidRDefault="005B4576" w:rsidP="005B4576">
            <w:pPr>
              <w:pStyle w:val="TableTextLeft"/>
            </w:pPr>
            <w:r w:rsidRPr="005A7197">
              <w:t>Additional patient-related risk factor for VTE with high risk of bleeding: We suggest mechanical prophylaxis over no VTE prophylaxis for procedures with low VTE risk for a patient with high personal risk of VTE.</w:t>
            </w:r>
          </w:p>
        </w:tc>
        <w:tc>
          <w:tcPr>
            <w:tcW w:w="1800" w:type="dxa"/>
            <w:noWrap/>
          </w:tcPr>
          <w:p w14:paraId="5C81DE51" w14:textId="18796F1A"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2</w:t>
            </w:r>
          </w:p>
        </w:tc>
        <w:tc>
          <w:tcPr>
            <w:tcW w:w="1170" w:type="dxa"/>
            <w:noWrap/>
          </w:tcPr>
          <w:p w14:paraId="7D3ABB8A" w14:textId="3BF28DC4"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C</w:t>
            </w:r>
          </w:p>
        </w:tc>
      </w:tr>
      <w:tr w:rsidR="005B4576" w:rsidRPr="004B79A4" w14:paraId="09F610E3"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hideMark/>
          </w:tcPr>
          <w:p w14:paraId="173C1D6B" w14:textId="77777777" w:rsidR="005B4576" w:rsidRPr="004D5318" w:rsidRDefault="005B4576" w:rsidP="005B4576">
            <w:pPr>
              <w:pStyle w:val="TableTextLeft"/>
            </w:pPr>
            <w:r w:rsidRPr="004D5318">
              <w:t>High VTE risk surgery and </w:t>
            </w:r>
            <w:r w:rsidRPr="004D5318">
              <w:rPr>
                <w:i/>
                <w:iCs/>
              </w:rPr>
              <w:t>no</w:t>
            </w:r>
            <w:r w:rsidRPr="004D5318">
              <w:t> high risk of bleeding:</w:t>
            </w:r>
          </w:p>
          <w:p w14:paraId="76B7249B" w14:textId="52EA88D6" w:rsidR="005B4576" w:rsidRPr="005A7197" w:rsidRDefault="005B4576" w:rsidP="005B4576">
            <w:pPr>
              <w:pStyle w:val="TableTextLeft"/>
            </w:pPr>
            <w:r w:rsidRPr="004D5318">
              <w:t xml:space="preserve">We suggest VTE prophylaxis with either LMWH or DOACs over no VTE prophylaxis for procedures with high VTE risk without high risk of bleeding (Grade 2B). We are unable to propose a recommendation in </w:t>
            </w:r>
            <w:proofErr w:type="spellStart"/>
            <w:r w:rsidRPr="004D5318">
              <w:t>favour</w:t>
            </w:r>
            <w:proofErr w:type="spellEnd"/>
            <w:r w:rsidRPr="004D5318">
              <w:t xml:space="preserve"> or against the use of aspirin.</w:t>
            </w:r>
          </w:p>
        </w:tc>
        <w:tc>
          <w:tcPr>
            <w:tcW w:w="1800" w:type="dxa"/>
            <w:noWrap/>
            <w:hideMark/>
          </w:tcPr>
          <w:p w14:paraId="6B043B2D" w14:textId="584F5D09"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2</w:t>
            </w:r>
          </w:p>
        </w:tc>
        <w:tc>
          <w:tcPr>
            <w:tcW w:w="1170" w:type="dxa"/>
            <w:noWrap/>
            <w:hideMark/>
          </w:tcPr>
          <w:p w14:paraId="1C5F2AB5" w14:textId="27962365"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B</w:t>
            </w:r>
          </w:p>
        </w:tc>
      </w:tr>
      <w:tr w:rsidR="005B4576" w:rsidRPr="00EA5BE0" w14:paraId="35EF63EE"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tcPr>
          <w:p w14:paraId="695A181F" w14:textId="5350F5D0" w:rsidR="005B4576" w:rsidRPr="005A7197" w:rsidRDefault="005B4576" w:rsidP="005B4576">
            <w:pPr>
              <w:pStyle w:val="TableTextLeft"/>
            </w:pPr>
            <w:r w:rsidRPr="005A7197">
              <w:t>High VTE risk surgery and high risk of bleeding: We suggest mechanical VTE prophylaxis over pharmacological prophylaxis for procedures with high VTE risk with high risk of bleeding.</w:t>
            </w:r>
          </w:p>
        </w:tc>
        <w:tc>
          <w:tcPr>
            <w:tcW w:w="1800" w:type="dxa"/>
            <w:noWrap/>
          </w:tcPr>
          <w:p w14:paraId="405C56DF" w14:textId="63F318E8"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2</w:t>
            </w:r>
          </w:p>
        </w:tc>
        <w:tc>
          <w:tcPr>
            <w:tcW w:w="1170" w:type="dxa"/>
            <w:noWrap/>
          </w:tcPr>
          <w:p w14:paraId="317D7B49" w14:textId="000F6F27" w:rsidR="005B4576" w:rsidRPr="005A7197"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rsidRPr="005A7197">
              <w:t>C</w:t>
            </w:r>
          </w:p>
        </w:tc>
      </w:tr>
      <w:tr w:rsidR="005B4576" w:rsidRPr="00EA5BE0" w14:paraId="4EF2943E"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tcPr>
          <w:p w14:paraId="31CE2BF6" w14:textId="7505A6E5" w:rsidR="005B4576" w:rsidRDefault="005B4576" w:rsidP="005B4576">
            <w:pPr>
              <w:pStyle w:val="TableTextLeft"/>
            </w:pPr>
            <w:r w:rsidRPr="00B93DCC">
              <w:t>We recommend pharmacological VTE prophylaxis over no prophylaxis after THA, TKA and hip fractures</w:t>
            </w:r>
            <w:r>
              <w:t>.</w:t>
            </w:r>
          </w:p>
        </w:tc>
        <w:tc>
          <w:tcPr>
            <w:tcW w:w="1800" w:type="dxa"/>
            <w:noWrap/>
          </w:tcPr>
          <w:p w14:paraId="4D794280" w14:textId="6F0F8BFA" w:rsidR="005B4576" w:rsidRPr="00EA5BE0"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t>1</w:t>
            </w:r>
          </w:p>
        </w:tc>
        <w:tc>
          <w:tcPr>
            <w:tcW w:w="1170" w:type="dxa"/>
            <w:noWrap/>
          </w:tcPr>
          <w:p w14:paraId="3FF902F0" w14:textId="4A9BD244" w:rsidR="005B4576" w:rsidRPr="00EA5BE0"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t>A</w:t>
            </w:r>
          </w:p>
        </w:tc>
      </w:tr>
      <w:tr w:rsidR="005B4576" w:rsidRPr="00EA5BE0" w14:paraId="5FC4D385"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tcPr>
          <w:p w14:paraId="65EF1ACC" w14:textId="6A42A26C" w:rsidR="005B4576" w:rsidRDefault="005B4576" w:rsidP="005B4576">
            <w:pPr>
              <w:pStyle w:val="TableTextLeft"/>
            </w:pPr>
            <w:r w:rsidRPr="00B93DCC">
              <w:t>We recommend pharmacological VTE prophylaxis with either LMWH or DOACs over no prophylaxis after fast-track THA, TKA or hip fracture</w:t>
            </w:r>
            <w:r>
              <w:t>.</w:t>
            </w:r>
          </w:p>
        </w:tc>
        <w:tc>
          <w:tcPr>
            <w:tcW w:w="1800" w:type="dxa"/>
            <w:noWrap/>
          </w:tcPr>
          <w:p w14:paraId="20E3F3FB" w14:textId="195DEC4B" w:rsidR="005B4576" w:rsidRPr="00EA5BE0"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t>1</w:t>
            </w:r>
          </w:p>
        </w:tc>
        <w:tc>
          <w:tcPr>
            <w:tcW w:w="1170" w:type="dxa"/>
            <w:noWrap/>
          </w:tcPr>
          <w:p w14:paraId="64139EED" w14:textId="433EB1AB" w:rsidR="005B4576" w:rsidRPr="00EA5BE0"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t>B</w:t>
            </w:r>
          </w:p>
        </w:tc>
      </w:tr>
      <w:tr w:rsidR="005B4576" w:rsidRPr="00EA5BE0" w14:paraId="5247D02C"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tcPr>
          <w:p w14:paraId="537CD263" w14:textId="700D0737" w:rsidR="005B4576" w:rsidRDefault="005B4576" w:rsidP="005B4576">
            <w:pPr>
              <w:pStyle w:val="TableTextLeft"/>
            </w:pPr>
            <w:r w:rsidRPr="00C828AB">
              <w:t>We recommend pharmacological VTE prophylaxis with aspirin over no prophylaxis after fast-track THA and TKA</w:t>
            </w:r>
            <w:r>
              <w:t>.</w:t>
            </w:r>
          </w:p>
        </w:tc>
        <w:tc>
          <w:tcPr>
            <w:tcW w:w="1800" w:type="dxa"/>
            <w:noWrap/>
          </w:tcPr>
          <w:p w14:paraId="769FF6BB" w14:textId="3EDAB088" w:rsidR="005B4576" w:rsidRPr="00EA5BE0"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t>1</w:t>
            </w:r>
          </w:p>
        </w:tc>
        <w:tc>
          <w:tcPr>
            <w:tcW w:w="1170" w:type="dxa"/>
            <w:noWrap/>
          </w:tcPr>
          <w:p w14:paraId="71C94ACF" w14:textId="66B32C71" w:rsidR="005B4576" w:rsidRPr="00EA5BE0"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t>C</w:t>
            </w:r>
          </w:p>
        </w:tc>
      </w:tr>
      <w:tr w:rsidR="005B4576" w:rsidRPr="00EA5BE0" w14:paraId="6919A66E"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tcPr>
          <w:p w14:paraId="7B942AF0" w14:textId="51B293EF" w:rsidR="005B4576" w:rsidRDefault="005B4576" w:rsidP="005B4576">
            <w:pPr>
              <w:pStyle w:val="TableTextLeft"/>
            </w:pPr>
            <w:r w:rsidRPr="00C828AB">
              <w:t>We recommend pharmacological VTE prophylaxis with either LMWH or DOACs over no prophylaxis after THA, TKA and hip fractures</w:t>
            </w:r>
            <w:r>
              <w:t>.</w:t>
            </w:r>
          </w:p>
        </w:tc>
        <w:tc>
          <w:tcPr>
            <w:tcW w:w="1800" w:type="dxa"/>
            <w:noWrap/>
          </w:tcPr>
          <w:p w14:paraId="7E403D6F" w14:textId="4AE218B5" w:rsidR="005B4576" w:rsidRPr="00EA5BE0"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t>1</w:t>
            </w:r>
          </w:p>
        </w:tc>
        <w:tc>
          <w:tcPr>
            <w:tcW w:w="1170" w:type="dxa"/>
            <w:noWrap/>
          </w:tcPr>
          <w:p w14:paraId="0181BC18" w14:textId="5EDAAC45" w:rsidR="005B4576" w:rsidRPr="00EA5BE0"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t>A</w:t>
            </w:r>
          </w:p>
        </w:tc>
      </w:tr>
      <w:tr w:rsidR="005B4576" w:rsidRPr="00EA5BE0" w14:paraId="5D2ACEE6" w14:textId="77777777" w:rsidTr="0086465C">
        <w:trPr>
          <w:trHeight w:val="120"/>
        </w:trPr>
        <w:tc>
          <w:tcPr>
            <w:cnfStyle w:val="001000000000" w:firstRow="0" w:lastRow="0" w:firstColumn="1" w:lastColumn="0" w:oddVBand="0" w:evenVBand="0" w:oddHBand="0" w:evenHBand="0" w:firstRowFirstColumn="0" w:firstRowLastColumn="0" w:lastRowFirstColumn="0" w:lastRowLastColumn="0"/>
            <w:tcW w:w="9990" w:type="dxa"/>
          </w:tcPr>
          <w:p w14:paraId="1812AF45" w14:textId="13715C02" w:rsidR="005B4576" w:rsidRDefault="005B4576" w:rsidP="005B4576">
            <w:pPr>
              <w:pStyle w:val="TableTextLeft"/>
            </w:pPr>
            <w:r w:rsidRPr="00714E79">
              <w:t>We recommend pharmacological VTE prophylaxis with LMWH (Grade 1B), DOACs (Grade 1B) or aspirin (Grade 1C) over no prophylaxis after fast-track THA or TKA.</w:t>
            </w:r>
          </w:p>
        </w:tc>
        <w:tc>
          <w:tcPr>
            <w:tcW w:w="1800" w:type="dxa"/>
            <w:noWrap/>
          </w:tcPr>
          <w:p w14:paraId="42EFC3CE" w14:textId="77777777" w:rsidR="005B4576"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t>1</w:t>
            </w:r>
          </w:p>
          <w:p w14:paraId="1FDA98D3" w14:textId="03378809" w:rsidR="005B4576" w:rsidRPr="00EA5BE0"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t>1</w:t>
            </w:r>
          </w:p>
        </w:tc>
        <w:tc>
          <w:tcPr>
            <w:tcW w:w="1170" w:type="dxa"/>
            <w:noWrap/>
          </w:tcPr>
          <w:p w14:paraId="1F26F01A" w14:textId="77777777" w:rsidR="005B4576"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t>B</w:t>
            </w:r>
          </w:p>
          <w:p w14:paraId="20259751" w14:textId="4B48A7F8" w:rsidR="005B4576" w:rsidRPr="00EA5BE0" w:rsidRDefault="005B4576" w:rsidP="0086465C">
            <w:pPr>
              <w:pStyle w:val="TableTextLeft"/>
              <w:cnfStyle w:val="000000000000" w:firstRow="0" w:lastRow="0" w:firstColumn="0" w:lastColumn="0" w:oddVBand="0" w:evenVBand="0" w:oddHBand="0" w:evenHBand="0" w:firstRowFirstColumn="0" w:firstRowLastColumn="0" w:lastRowFirstColumn="0" w:lastRowLastColumn="0"/>
            </w:pPr>
            <w:r>
              <w:t>C</w:t>
            </w:r>
          </w:p>
        </w:tc>
      </w:tr>
    </w:tbl>
    <w:p w14:paraId="25507AF4" w14:textId="6B10A887" w:rsidR="0041225D" w:rsidRDefault="002D125C" w:rsidP="00607FFA">
      <w:pPr>
        <w:pStyle w:val="H2"/>
        <w:rPr>
          <w:rFonts w:eastAsia="MS Gothic"/>
        </w:rPr>
      </w:pPr>
      <w:bookmarkStart w:id="30" w:name="_Toc195287995"/>
      <w:r>
        <w:rPr>
          <w:rFonts w:eastAsia="MS Gothic"/>
        </w:rPr>
        <w:lastRenderedPageBreak/>
        <w:t>6</w:t>
      </w:r>
      <w:r w:rsidR="005765DB">
        <w:rPr>
          <w:rFonts w:eastAsia="MS Gothic"/>
        </w:rPr>
        <w:t>.</w:t>
      </w:r>
      <w:r w:rsidR="0086465C">
        <w:rPr>
          <w:rFonts w:eastAsia="MS Gothic"/>
        </w:rPr>
        <w:tab/>
      </w:r>
      <w:r w:rsidR="00020D7E">
        <w:rPr>
          <w:rFonts w:eastAsia="MS Gothic"/>
        </w:rPr>
        <w:t>American Society of Clinical Oncology</w:t>
      </w:r>
      <w:r w:rsidR="00AE1A99">
        <w:rPr>
          <w:rFonts w:eastAsia="MS Gothic"/>
        </w:rPr>
        <w:t>: 2023 Guideline Update</w:t>
      </w:r>
      <w:bookmarkEnd w:id="30"/>
    </w:p>
    <w:p w14:paraId="6496D377" w14:textId="4A2B4F8B" w:rsidR="0041225D" w:rsidRPr="00B33DBB" w:rsidRDefault="00607FFA" w:rsidP="00521A5C">
      <w:pPr>
        <w:pStyle w:val="Paragraph"/>
        <w:rPr>
          <w:rStyle w:val="Hyperlink"/>
          <w:szCs w:val="20"/>
        </w:rPr>
      </w:pPr>
      <w:r w:rsidRPr="00B33DBB">
        <w:fldChar w:fldCharType="begin"/>
      </w:r>
      <w:r w:rsidRPr="00B33DBB">
        <w:instrText>HYPERLINK "https://doi.org/10.1200/JCO.23.00294"</w:instrText>
      </w:r>
      <w:r w:rsidRPr="00B33DBB">
        <w:fldChar w:fldCharType="separate"/>
      </w:r>
      <w:r w:rsidR="00272AF5" w:rsidRPr="00B33DBB">
        <w:rPr>
          <w:rStyle w:val="Hyperlink"/>
          <w:szCs w:val="20"/>
        </w:rPr>
        <w:t xml:space="preserve">Key, N. S., Khorana, A. A., Kuderer, N. M., Bohlke, K., Lee, A. Y. Y., Arcelus, J. I., Wong, S. L., Balaban, E. P., Flowers, C. R., Gates, L. E., Kakkar, A. K., Tempero, M. A., Gupta, S., Lyman, G. H., &amp; Falanga, A. (2023). Venous Thromboembolism Prophylaxis and Treatment in Patients With Cancer: ASCO Guideline Update. Journal of clinical </w:t>
      </w:r>
      <w:r w:rsidRPr="00B33DBB">
        <w:rPr>
          <w:rStyle w:val="Hyperlink"/>
          <w:szCs w:val="20"/>
        </w:rPr>
        <w:t>oncology:</w:t>
      </w:r>
      <w:r w:rsidR="00272AF5" w:rsidRPr="00B33DBB">
        <w:rPr>
          <w:rStyle w:val="Hyperlink"/>
          <w:szCs w:val="20"/>
        </w:rPr>
        <w:t xml:space="preserve"> official journal of the American Society of Clinical Oncology, 41(16), 3063–3071. </w:t>
      </w:r>
      <w:r w:rsidRPr="00B33DBB">
        <w:rPr>
          <w:rStyle w:val="Hyperlink"/>
          <w:szCs w:val="20"/>
        </w:rPr>
        <w:t>https://doi.org/10.1200/JCO.23.00294</w:t>
      </w:r>
    </w:p>
    <w:p w14:paraId="146DD653" w14:textId="341401FF" w:rsidR="00272AF5" w:rsidRPr="00B33DBB" w:rsidRDefault="00607FFA" w:rsidP="00B33DBB">
      <w:pPr>
        <w:pStyle w:val="Paragraph"/>
      </w:pPr>
      <w:r w:rsidRPr="00B33DBB">
        <w:rPr>
          <w:szCs w:val="20"/>
        </w:rPr>
        <w:fldChar w:fldCharType="end"/>
      </w:r>
      <w:r w:rsidR="009E7854" w:rsidRPr="00B33DBB">
        <w:rPr>
          <w:rFonts w:cstheme="minorHAnsi"/>
          <w:szCs w:val="20"/>
        </w:rPr>
        <w:t xml:space="preserve">The American </w:t>
      </w:r>
      <w:r w:rsidR="002B393B" w:rsidRPr="00B33DBB">
        <w:rPr>
          <w:rFonts w:cstheme="minorHAnsi"/>
          <w:szCs w:val="20"/>
        </w:rPr>
        <w:t>Society of Clinical Oncology</w:t>
      </w:r>
      <w:r w:rsidR="00891F2C" w:rsidRPr="00B33DBB">
        <w:rPr>
          <w:rFonts w:cstheme="minorHAnsi"/>
          <w:szCs w:val="20"/>
        </w:rPr>
        <w:t xml:space="preserve"> (ASCO) </w:t>
      </w:r>
      <w:r w:rsidR="006C410A" w:rsidRPr="00B33DBB">
        <w:rPr>
          <w:rFonts w:cstheme="minorHAnsi"/>
          <w:szCs w:val="20"/>
        </w:rPr>
        <w:t xml:space="preserve">provide guidance via clinical practice recommendations for the prevention </w:t>
      </w:r>
      <w:r w:rsidR="00783D18" w:rsidRPr="00B33DBB">
        <w:rPr>
          <w:rFonts w:cstheme="minorHAnsi"/>
          <w:szCs w:val="20"/>
        </w:rPr>
        <w:t xml:space="preserve">and treatment </w:t>
      </w:r>
      <w:r w:rsidR="006C410A" w:rsidRPr="00B33DBB">
        <w:rPr>
          <w:rFonts w:cstheme="minorHAnsi"/>
          <w:szCs w:val="20"/>
        </w:rPr>
        <w:t xml:space="preserve">of VTE in </w:t>
      </w:r>
      <w:r w:rsidR="00783D18" w:rsidRPr="00B33DBB">
        <w:rPr>
          <w:rFonts w:cstheme="minorHAnsi"/>
          <w:szCs w:val="20"/>
        </w:rPr>
        <w:t xml:space="preserve">patients with cancer. This guideline is based on a </w:t>
      </w:r>
      <w:r w:rsidR="00167ED8" w:rsidRPr="00B33DBB">
        <w:rPr>
          <w:rFonts w:cstheme="minorHAnsi"/>
          <w:szCs w:val="20"/>
        </w:rPr>
        <w:t xml:space="preserve">review of clinical trials and an updated systematic review </w:t>
      </w:r>
      <w:r w:rsidR="00DB66A4" w:rsidRPr="00B33DBB">
        <w:rPr>
          <w:rFonts w:cstheme="minorHAnsi"/>
          <w:szCs w:val="20"/>
        </w:rPr>
        <w:t>around perioperative thromboprophylaxis and treatment of VTE.</w:t>
      </w:r>
      <w:r w:rsidR="00147B5A">
        <w:rPr>
          <w:rFonts w:cstheme="minorHAnsi"/>
          <w:szCs w:val="20"/>
        </w:rPr>
        <w:t xml:space="preserve"> The outcomes assessed include </w:t>
      </w:r>
      <w:r w:rsidR="00961A98">
        <w:rPr>
          <w:rFonts w:cstheme="minorHAnsi"/>
          <w:szCs w:val="20"/>
        </w:rPr>
        <w:t xml:space="preserve">VTE occurrence after surgery for cancer patients. </w:t>
      </w:r>
    </w:p>
    <w:p w14:paraId="55D4A068" w14:textId="0D9DA928" w:rsidR="00891F2C" w:rsidRPr="00223BCE" w:rsidRDefault="00891F2C" w:rsidP="00521A5C">
      <w:pPr>
        <w:pStyle w:val="Paragraph"/>
      </w:pPr>
      <w:r w:rsidRPr="00223BCE">
        <w:t>The methodology for determining strength of recommendations and strength of evidence (</w:t>
      </w:r>
      <w:hyperlink w:anchor="Table2" w:history="1">
        <w:r w:rsidR="00D312BC" w:rsidRPr="002502F3">
          <w:rPr>
            <w:b/>
            <w:bCs/>
          </w:rPr>
          <w:t>Table</w:t>
        </w:r>
      </w:hyperlink>
      <w:r w:rsidR="00D312BC" w:rsidRPr="002502F3">
        <w:rPr>
          <w:b/>
          <w:bCs/>
        </w:rPr>
        <w:t xml:space="preserve"> </w:t>
      </w:r>
      <w:r w:rsidR="00B05334" w:rsidRPr="002502F3">
        <w:rPr>
          <w:b/>
          <w:bCs/>
        </w:rPr>
        <w:t>3</w:t>
      </w:r>
      <w:r w:rsidR="00493DDA">
        <w:rPr>
          <w:b/>
          <w:bCs/>
        </w:rPr>
        <w:t>3</w:t>
      </w:r>
      <w:r w:rsidR="0099471F" w:rsidRPr="00223BCE">
        <w:t>)</w:t>
      </w:r>
      <w:r w:rsidR="00D312BC" w:rsidRPr="00223BCE">
        <w:t xml:space="preserve"> </w:t>
      </w:r>
      <w:r w:rsidR="00325211" w:rsidRPr="00223BCE">
        <w:t xml:space="preserve">were created using the Guidelines </w:t>
      </w:r>
      <w:proofErr w:type="gramStart"/>
      <w:r w:rsidR="00325211" w:rsidRPr="00223BCE">
        <w:t>Into</w:t>
      </w:r>
      <w:proofErr w:type="gramEnd"/>
      <w:r w:rsidR="00325211" w:rsidRPr="00223BCE">
        <w:t xml:space="preserve"> Decision Support methodology</w:t>
      </w:r>
      <w:r w:rsidR="001704CE" w:rsidRPr="00223BCE">
        <w:t xml:space="preserve"> and reviewed for </w:t>
      </w:r>
      <w:r w:rsidR="00562B23" w:rsidRPr="00223BCE">
        <w:t xml:space="preserve">guideline </w:t>
      </w:r>
      <w:r w:rsidR="00191C69" w:rsidRPr="00223BCE">
        <w:t>implementability</w:t>
      </w:r>
      <w:r w:rsidR="00562B23" w:rsidRPr="00223BCE">
        <w:t>.</w:t>
      </w:r>
    </w:p>
    <w:p w14:paraId="194822EC" w14:textId="77874850" w:rsidR="00FE36B1" w:rsidRDefault="00891F2C" w:rsidP="00521A5C">
      <w:pPr>
        <w:pStyle w:val="Paragraph"/>
      </w:pPr>
      <w:r w:rsidRPr="00B33DBB">
        <w:t>Within each recommendation, the strength of recommendation is indicated as</w:t>
      </w:r>
      <w:r w:rsidR="00557CA8">
        <w:t xml:space="preserve"> either a (1)</w:t>
      </w:r>
      <w:r w:rsidRPr="00B33DBB">
        <w:t xml:space="preserve"> strong</w:t>
      </w:r>
      <w:r w:rsidR="00557CA8">
        <w:t>, (2) moderate, or (3) weak</w:t>
      </w:r>
      <w:r w:rsidRPr="00B33DBB">
        <w:t xml:space="preserve"> recommendatio</w:t>
      </w:r>
      <w:r w:rsidR="00557CA8">
        <w:t>n.</w:t>
      </w:r>
    </w:p>
    <w:p w14:paraId="174962BB" w14:textId="07E6905B" w:rsidR="00FE36B1" w:rsidRPr="00FE36B1" w:rsidRDefault="00FE36B1" w:rsidP="00521A5C">
      <w:pPr>
        <w:pStyle w:val="Paragraph"/>
      </w:pPr>
      <w:r w:rsidRPr="0094704E">
        <w:t xml:space="preserve">Key guideline </w:t>
      </w:r>
      <w:r w:rsidR="00B56317" w:rsidRPr="0094704E">
        <w:t>recommendations that</w:t>
      </w:r>
      <w:r>
        <w:t xml:space="preserve"> support the measure</w:t>
      </w:r>
      <w:r w:rsidRPr="0094704E">
        <w:t xml:space="preserve"> are included in </w:t>
      </w:r>
      <w:r w:rsidRPr="0094704E">
        <w:rPr>
          <w:b/>
          <w:bCs/>
        </w:rPr>
        <w:t xml:space="preserve">Table </w:t>
      </w:r>
      <w:r>
        <w:rPr>
          <w:b/>
          <w:bCs/>
        </w:rPr>
        <w:t>3</w:t>
      </w:r>
      <w:r w:rsidR="00493DDA">
        <w:rPr>
          <w:b/>
          <w:bCs/>
        </w:rPr>
        <w:t>4</w:t>
      </w:r>
      <w:r w:rsidRPr="0094704E">
        <w:t xml:space="preserve"> below.</w:t>
      </w:r>
    </w:p>
    <w:p w14:paraId="31404DA9" w14:textId="778DDF75" w:rsidR="00F372E6" w:rsidRDefault="00CA3516" w:rsidP="00521A5C">
      <w:pPr>
        <w:pStyle w:val="TableTitle"/>
        <w:rPr>
          <w:rFonts w:eastAsia="Calibri" w:cstheme="minorHAnsi"/>
          <w:color w:val="000000"/>
          <w:szCs w:val="20"/>
        </w:rPr>
      </w:pPr>
      <w:r w:rsidRPr="00521A5C">
        <w:rPr>
          <w:b/>
          <w:bCs/>
        </w:rPr>
        <w:t>Table</w:t>
      </w:r>
      <w:r w:rsidR="00B05334" w:rsidRPr="00521A5C">
        <w:rPr>
          <w:b/>
          <w:bCs/>
        </w:rPr>
        <w:t xml:space="preserve"> 3</w:t>
      </w:r>
      <w:r w:rsidR="00493DDA" w:rsidRPr="00521A5C">
        <w:rPr>
          <w:b/>
          <w:bCs/>
        </w:rPr>
        <w:t>3</w:t>
      </w:r>
      <w:r w:rsidR="00521A5C">
        <w:t xml:space="preserve">. </w:t>
      </w:r>
      <w:r>
        <w:t xml:space="preserve">ASCO </w:t>
      </w:r>
      <w:r w:rsidR="00D070CC">
        <w:t>(2023)</w:t>
      </w:r>
      <w:r w:rsidR="00D37E2C">
        <w:t xml:space="preserve"> </w:t>
      </w:r>
      <w:r w:rsidRPr="00CA3516">
        <w:t xml:space="preserve">Strength of </w:t>
      </w:r>
      <w:r w:rsidR="00B56317" w:rsidRPr="00CA3516">
        <w:t>Recommendation</w:t>
      </w:r>
      <w:r w:rsidRPr="00CA3516">
        <w:t xml:space="preserve"> Criteria </w:t>
      </w:r>
    </w:p>
    <w:tbl>
      <w:tblPr>
        <w:tblStyle w:val="BaseTable"/>
        <w:tblW w:w="5000" w:type="pct"/>
        <w:tblLook w:val="04A0" w:firstRow="1" w:lastRow="0" w:firstColumn="1" w:lastColumn="0" w:noHBand="0" w:noVBand="1"/>
      </w:tblPr>
      <w:tblGrid>
        <w:gridCol w:w="2610"/>
        <w:gridCol w:w="10350"/>
      </w:tblGrid>
      <w:tr w:rsidR="009865F9" w14:paraId="53F432AE" w14:textId="77777777" w:rsidTr="0086465C">
        <w:trPr>
          <w:cnfStyle w:val="100000000000" w:firstRow="1" w:lastRow="0" w:firstColumn="0" w:lastColumn="0" w:oddVBand="0" w:evenVBand="0" w:oddHBand="0" w:evenHBand="0" w:firstRowFirstColumn="0" w:firstRowLastColumn="0" w:lastRowFirstColumn="0" w:lastRowLastColumn="0"/>
          <w:cantSplit/>
          <w:tblHeader/>
        </w:trPr>
        <w:tc>
          <w:tcPr>
            <w:tcW w:w="2610" w:type="dxa"/>
          </w:tcPr>
          <w:p w14:paraId="381E3D47" w14:textId="190F9B08" w:rsidR="009865F9" w:rsidRPr="00DB20FF" w:rsidRDefault="009865F9" w:rsidP="006C2DF3">
            <w:pPr>
              <w:pStyle w:val="TableHeaderLeft"/>
            </w:pPr>
            <w:r w:rsidRPr="00DB20FF">
              <w:t>Term</w:t>
            </w:r>
          </w:p>
        </w:tc>
        <w:tc>
          <w:tcPr>
            <w:tcW w:w="10350" w:type="dxa"/>
          </w:tcPr>
          <w:p w14:paraId="7B219F96" w14:textId="749C76F2" w:rsidR="009865F9" w:rsidRPr="00DB20FF" w:rsidRDefault="009865F9" w:rsidP="006C2DF3">
            <w:pPr>
              <w:pStyle w:val="TableHeaderCenter"/>
            </w:pPr>
            <w:r w:rsidRPr="00DB20FF">
              <w:t>Definitions</w:t>
            </w:r>
          </w:p>
        </w:tc>
      </w:tr>
      <w:tr w:rsidR="006C2DF3" w14:paraId="7BA42BA1" w14:textId="77777777" w:rsidTr="0086465C">
        <w:trPr>
          <w:cantSplit/>
        </w:trPr>
        <w:tc>
          <w:tcPr>
            <w:tcW w:w="2610" w:type="dxa"/>
            <w:shd w:val="clear" w:color="auto" w:fill="0B2949" w:themeFill="accent1"/>
          </w:tcPr>
          <w:p w14:paraId="136A41F4" w14:textId="5B0E5628" w:rsidR="006C2DF3" w:rsidRPr="00D742F3" w:rsidRDefault="006C2DF3" w:rsidP="006C2DF3">
            <w:pPr>
              <w:pStyle w:val="TableRowHead"/>
            </w:pPr>
            <w:r w:rsidRPr="00D070CC">
              <w:t>Quality of evidence</w:t>
            </w:r>
          </w:p>
        </w:tc>
        <w:tc>
          <w:tcPr>
            <w:tcW w:w="10350" w:type="dxa"/>
            <w:shd w:val="clear" w:color="auto" w:fill="0B2949" w:themeFill="accent1"/>
          </w:tcPr>
          <w:p w14:paraId="6E70E23D" w14:textId="77777777" w:rsidR="006C2DF3" w:rsidRPr="00D742F3" w:rsidRDefault="006C2DF3" w:rsidP="006C2DF3">
            <w:pPr>
              <w:pStyle w:val="TableRowHead"/>
            </w:pPr>
          </w:p>
        </w:tc>
      </w:tr>
      <w:tr w:rsidR="006C2DF3" w14:paraId="095D57ED" w14:textId="77777777" w:rsidTr="0086465C">
        <w:trPr>
          <w:cantSplit/>
        </w:trPr>
        <w:tc>
          <w:tcPr>
            <w:tcW w:w="2610" w:type="dxa"/>
          </w:tcPr>
          <w:p w14:paraId="60719FC6" w14:textId="500C1805" w:rsidR="006C2DF3" w:rsidRDefault="006C2DF3" w:rsidP="006C2DF3">
            <w:pPr>
              <w:pStyle w:val="TableTextLeft"/>
            </w:pPr>
            <w:r w:rsidRPr="00D742F3">
              <w:t xml:space="preserve">High </w:t>
            </w:r>
          </w:p>
        </w:tc>
        <w:tc>
          <w:tcPr>
            <w:tcW w:w="10350" w:type="dxa"/>
          </w:tcPr>
          <w:p w14:paraId="020B5F8D" w14:textId="23E636D1" w:rsidR="006C2DF3" w:rsidRDefault="006C2DF3" w:rsidP="006C2DF3">
            <w:pPr>
              <w:pStyle w:val="TableTextLeft"/>
            </w:pPr>
            <w:r w:rsidRPr="00D742F3">
              <w:t>High confidence that the available evidence reflects the true magnitude and direction of the net effect (e.g.,</w:t>
            </w:r>
            <w:r>
              <w:t xml:space="preserve"> </w:t>
            </w:r>
            <w:r w:rsidRPr="00D742F3">
              <w:t>balance of benefits versus harms) and further research is very unlikely to change either the magnitude or</w:t>
            </w:r>
            <w:r>
              <w:t xml:space="preserve"> </w:t>
            </w:r>
            <w:r w:rsidRPr="00D742F3">
              <w:t>direction of this net effect</w:t>
            </w:r>
            <w:r>
              <w:t>.</w:t>
            </w:r>
          </w:p>
        </w:tc>
      </w:tr>
      <w:tr w:rsidR="006C2DF3" w14:paraId="2B63D6FE" w14:textId="77777777" w:rsidTr="0086465C">
        <w:trPr>
          <w:cantSplit/>
        </w:trPr>
        <w:tc>
          <w:tcPr>
            <w:tcW w:w="2610" w:type="dxa"/>
          </w:tcPr>
          <w:p w14:paraId="5D02DF50" w14:textId="74495DF7" w:rsidR="006C2DF3" w:rsidRDefault="006C2DF3" w:rsidP="006C2DF3">
            <w:pPr>
              <w:pStyle w:val="TableTextLeft"/>
            </w:pPr>
            <w:r>
              <w:t>Intermediate</w:t>
            </w:r>
          </w:p>
        </w:tc>
        <w:tc>
          <w:tcPr>
            <w:tcW w:w="10350" w:type="dxa"/>
          </w:tcPr>
          <w:p w14:paraId="7585343C" w14:textId="7DE95808" w:rsidR="006C2DF3" w:rsidRPr="00F02241" w:rsidRDefault="006C2DF3" w:rsidP="006C2DF3">
            <w:pPr>
              <w:pStyle w:val="TableTextLeft"/>
            </w:pPr>
            <w:r>
              <w:t>I</w:t>
            </w:r>
            <w:r w:rsidRPr="00F02241">
              <w:t>ntermediate confidence that the available evidence reflects the true magnitude and direction of the net effect.</w:t>
            </w:r>
          </w:p>
          <w:p w14:paraId="523DE415" w14:textId="2B34F3F3" w:rsidR="006C2DF3" w:rsidRDefault="006C2DF3" w:rsidP="006C2DF3">
            <w:pPr>
              <w:pStyle w:val="TableTextLeft"/>
            </w:pPr>
            <w:r w:rsidRPr="00F02241">
              <w:t>Further research is unlikely to alter the direction of the net effect; however, it might alter the magnitude of the</w:t>
            </w:r>
            <w:r>
              <w:t xml:space="preserve"> </w:t>
            </w:r>
            <w:r w:rsidRPr="00F02241">
              <w:t>net effect</w:t>
            </w:r>
            <w:r>
              <w:t>.</w:t>
            </w:r>
          </w:p>
        </w:tc>
      </w:tr>
      <w:tr w:rsidR="006C2DF3" w14:paraId="3340D67A" w14:textId="77777777" w:rsidTr="0086465C">
        <w:trPr>
          <w:cantSplit/>
        </w:trPr>
        <w:tc>
          <w:tcPr>
            <w:tcW w:w="2610" w:type="dxa"/>
          </w:tcPr>
          <w:p w14:paraId="303B8E30" w14:textId="6DD1A70A" w:rsidR="006C2DF3" w:rsidRDefault="006C2DF3" w:rsidP="006C2DF3">
            <w:pPr>
              <w:pStyle w:val="TableTextLeft"/>
            </w:pPr>
            <w:r>
              <w:t xml:space="preserve">Low </w:t>
            </w:r>
          </w:p>
        </w:tc>
        <w:tc>
          <w:tcPr>
            <w:tcW w:w="10350" w:type="dxa"/>
          </w:tcPr>
          <w:p w14:paraId="77CA9EF3" w14:textId="297F70E5" w:rsidR="006C2DF3" w:rsidRDefault="006C2DF3" w:rsidP="006C2DF3">
            <w:pPr>
              <w:pStyle w:val="TableTextLeft"/>
            </w:pPr>
            <w:r w:rsidRPr="00F02241">
              <w:t>Low confidence that the available evidence reflects the true magnitude and direction of the net effect. Further</w:t>
            </w:r>
            <w:r>
              <w:t xml:space="preserve"> </w:t>
            </w:r>
            <w:r w:rsidRPr="00F02241">
              <w:t>research may change the magnitude and/or direction of this net effect</w:t>
            </w:r>
            <w:r>
              <w:t>.</w:t>
            </w:r>
          </w:p>
        </w:tc>
      </w:tr>
      <w:tr w:rsidR="006C2DF3" w14:paraId="08D1E01E" w14:textId="77777777" w:rsidTr="0086465C">
        <w:trPr>
          <w:cantSplit/>
        </w:trPr>
        <w:tc>
          <w:tcPr>
            <w:tcW w:w="2610" w:type="dxa"/>
          </w:tcPr>
          <w:p w14:paraId="5970C615" w14:textId="54AA0509" w:rsidR="006C2DF3" w:rsidRDefault="006C2DF3" w:rsidP="006C2DF3">
            <w:pPr>
              <w:pStyle w:val="TableTextLeft"/>
            </w:pPr>
            <w:r>
              <w:t xml:space="preserve">Insufficient </w:t>
            </w:r>
          </w:p>
        </w:tc>
        <w:tc>
          <w:tcPr>
            <w:tcW w:w="10350" w:type="dxa"/>
          </w:tcPr>
          <w:p w14:paraId="566C0392" w14:textId="191AC857" w:rsidR="006C2DF3" w:rsidRDefault="006C2DF3" w:rsidP="006C2DF3">
            <w:pPr>
              <w:pStyle w:val="TableTextLeft"/>
            </w:pPr>
            <w:r>
              <w:t>E</w:t>
            </w:r>
            <w:r w:rsidRPr="00F92456">
              <w:t>vidence is insufficient to discern the true magnitude and direction of the net effect. Further research may</w:t>
            </w:r>
            <w:r>
              <w:t xml:space="preserve"> </w:t>
            </w:r>
            <w:r w:rsidRPr="00F92456">
              <w:t>better inform the topic. Reliance on consensus opinion of experts may be reasonable to provide guidance on</w:t>
            </w:r>
            <w:r>
              <w:t xml:space="preserve"> </w:t>
            </w:r>
            <w:r w:rsidRPr="00F92456">
              <w:t>the topic until better evidence is available</w:t>
            </w:r>
            <w:r>
              <w:t>.</w:t>
            </w:r>
          </w:p>
        </w:tc>
      </w:tr>
      <w:tr w:rsidR="006C2DF3" w14:paraId="487BCE10" w14:textId="77777777" w:rsidTr="0086465C">
        <w:trPr>
          <w:cantSplit/>
        </w:trPr>
        <w:tc>
          <w:tcPr>
            <w:tcW w:w="2610" w:type="dxa"/>
            <w:shd w:val="clear" w:color="auto" w:fill="0B2949" w:themeFill="accent1"/>
          </w:tcPr>
          <w:p w14:paraId="0985127D" w14:textId="46598EAA" w:rsidR="006C2DF3" w:rsidRDefault="006C2DF3" w:rsidP="006C2DF3">
            <w:pPr>
              <w:pStyle w:val="TableRowHead"/>
            </w:pPr>
            <w:r w:rsidRPr="00F34886">
              <w:lastRenderedPageBreak/>
              <w:t>Strength of recommendation</w:t>
            </w:r>
          </w:p>
        </w:tc>
        <w:tc>
          <w:tcPr>
            <w:tcW w:w="10350" w:type="dxa"/>
            <w:shd w:val="clear" w:color="auto" w:fill="0B2949" w:themeFill="accent1"/>
          </w:tcPr>
          <w:p w14:paraId="51230B78" w14:textId="77777777" w:rsidR="006C2DF3" w:rsidRDefault="006C2DF3" w:rsidP="006C2DF3">
            <w:pPr>
              <w:pStyle w:val="TableRowHead"/>
            </w:pPr>
          </w:p>
        </w:tc>
      </w:tr>
      <w:tr w:rsidR="006C2DF3" w14:paraId="5732819D" w14:textId="77777777" w:rsidTr="0086465C">
        <w:trPr>
          <w:cantSplit/>
        </w:trPr>
        <w:tc>
          <w:tcPr>
            <w:tcW w:w="2610" w:type="dxa"/>
          </w:tcPr>
          <w:p w14:paraId="19A918E4" w14:textId="084EA95E" w:rsidR="006C2DF3" w:rsidRDefault="006C2DF3" w:rsidP="006C2DF3">
            <w:pPr>
              <w:pStyle w:val="TableTextLeft"/>
            </w:pPr>
            <w:r>
              <w:t>Strong</w:t>
            </w:r>
          </w:p>
        </w:tc>
        <w:tc>
          <w:tcPr>
            <w:tcW w:w="10350" w:type="dxa"/>
          </w:tcPr>
          <w:p w14:paraId="072CA7EA" w14:textId="338463D9" w:rsidR="006C2DF3" w:rsidRDefault="006C2DF3" w:rsidP="006C2DF3">
            <w:pPr>
              <w:pStyle w:val="TableTextLeft"/>
            </w:pPr>
            <w:r>
              <w:t>T</w:t>
            </w:r>
            <w:r w:rsidRPr="00B612D3">
              <w:t>here is high confidence that the recommendation reflects best practice. This is based on: (a) strong evidence for a true net effect (e.g., benefits exceed harms); (b) consistent results, with no or minor exceptions; (c) minor or no concerns about study quality; and/or (d) the extent of panelists’ agreement. Other compelling considerations (discussed in the guideline’s literature review and analyses) may also warrant a strong recommendation</w:t>
            </w:r>
            <w:r>
              <w:t>.</w:t>
            </w:r>
          </w:p>
        </w:tc>
      </w:tr>
      <w:tr w:rsidR="006C2DF3" w14:paraId="53DF7A29" w14:textId="77777777" w:rsidTr="0086465C">
        <w:trPr>
          <w:cantSplit/>
        </w:trPr>
        <w:tc>
          <w:tcPr>
            <w:tcW w:w="2610" w:type="dxa"/>
          </w:tcPr>
          <w:p w14:paraId="429A1A17" w14:textId="2D2716AE" w:rsidR="006C2DF3" w:rsidRDefault="006C2DF3" w:rsidP="006C2DF3">
            <w:pPr>
              <w:pStyle w:val="TableTextLeft"/>
            </w:pPr>
            <w:r>
              <w:t>Moderate</w:t>
            </w:r>
          </w:p>
        </w:tc>
        <w:tc>
          <w:tcPr>
            <w:tcW w:w="10350" w:type="dxa"/>
          </w:tcPr>
          <w:p w14:paraId="5BA0589E" w14:textId="77777777" w:rsidR="006C2DF3" w:rsidRPr="003C5D48" w:rsidRDefault="006C2DF3" w:rsidP="006C2DF3">
            <w:pPr>
              <w:pStyle w:val="TableTextLeft"/>
            </w:pPr>
            <w:r w:rsidRPr="003C5D48">
              <w:t>There is moderate confidence that the recommendation reflects best practice. This is based on:</w:t>
            </w:r>
          </w:p>
          <w:p w14:paraId="317495F1" w14:textId="32FF99DD" w:rsidR="006C2DF3" w:rsidRPr="003C5D48" w:rsidRDefault="006C2DF3" w:rsidP="006C2DF3">
            <w:pPr>
              <w:pStyle w:val="TableTextLeft"/>
            </w:pPr>
            <w:r w:rsidRPr="003C5D48">
              <w:t>(a) good evidence for a true net effect (e.g., benefits exceed harms</w:t>
            </w:r>
            <w:proofErr w:type="gramStart"/>
            <w:r w:rsidRPr="003C5D48">
              <w:t>);</w:t>
            </w:r>
            <w:proofErr w:type="gramEnd"/>
          </w:p>
          <w:p w14:paraId="60A911A5" w14:textId="77777777" w:rsidR="006C2DF3" w:rsidRPr="003C5D48" w:rsidRDefault="006C2DF3" w:rsidP="006C2DF3">
            <w:pPr>
              <w:pStyle w:val="TableTextLeft"/>
            </w:pPr>
            <w:r w:rsidRPr="003C5D48">
              <w:t xml:space="preserve">(b) consistent results with minor and/or few </w:t>
            </w:r>
            <w:proofErr w:type="gramStart"/>
            <w:r w:rsidRPr="003C5D48">
              <w:t>exceptions;</w:t>
            </w:r>
            <w:proofErr w:type="gramEnd"/>
          </w:p>
          <w:p w14:paraId="5116D1A3" w14:textId="77777777" w:rsidR="006C2DF3" w:rsidRPr="003C5D48" w:rsidRDefault="006C2DF3" w:rsidP="006C2DF3">
            <w:pPr>
              <w:pStyle w:val="TableTextLeft"/>
            </w:pPr>
            <w:r w:rsidRPr="003C5D48">
              <w:t>(c) minor and/or few concerns about study quality; and/or</w:t>
            </w:r>
          </w:p>
          <w:p w14:paraId="73754D3A" w14:textId="77777777" w:rsidR="006C2DF3" w:rsidRPr="003C5D48" w:rsidRDefault="006C2DF3" w:rsidP="006C2DF3">
            <w:pPr>
              <w:pStyle w:val="TableTextLeft"/>
            </w:pPr>
            <w:r w:rsidRPr="003C5D48">
              <w:t>(d) the extent of panelists’ agreement.</w:t>
            </w:r>
          </w:p>
          <w:p w14:paraId="2CE7CE3B" w14:textId="4D414453" w:rsidR="006C2DF3" w:rsidRDefault="006C2DF3" w:rsidP="006C2DF3">
            <w:pPr>
              <w:pStyle w:val="TableTextLeft"/>
            </w:pPr>
            <w:r w:rsidRPr="003C5D48">
              <w:t>Other compelling considerations (discussed in the guideline’s literature review and analyses) may also warrant</w:t>
            </w:r>
            <w:r>
              <w:t xml:space="preserve"> </w:t>
            </w:r>
            <w:r w:rsidRPr="003C5D48">
              <w:t>a moderate recommendation</w:t>
            </w:r>
            <w:r>
              <w:t>.</w:t>
            </w:r>
          </w:p>
        </w:tc>
      </w:tr>
      <w:tr w:rsidR="006C2DF3" w14:paraId="644FDC2E" w14:textId="77777777" w:rsidTr="0086465C">
        <w:trPr>
          <w:cantSplit/>
        </w:trPr>
        <w:tc>
          <w:tcPr>
            <w:tcW w:w="2610" w:type="dxa"/>
          </w:tcPr>
          <w:p w14:paraId="20C0BC7C" w14:textId="5060FE2C" w:rsidR="006C2DF3" w:rsidRDefault="006C2DF3" w:rsidP="006C2DF3">
            <w:pPr>
              <w:pStyle w:val="TableTextLeft"/>
            </w:pPr>
            <w:r>
              <w:t>Weak</w:t>
            </w:r>
          </w:p>
        </w:tc>
        <w:tc>
          <w:tcPr>
            <w:tcW w:w="10350" w:type="dxa"/>
          </w:tcPr>
          <w:p w14:paraId="1D0BAF46" w14:textId="5BE70D0D" w:rsidR="006C2DF3" w:rsidRDefault="006C2DF3" w:rsidP="006C2DF3">
            <w:pPr>
              <w:pStyle w:val="TableTextLeft"/>
            </w:pPr>
            <w:r>
              <w:t>T</w:t>
            </w:r>
            <w:r w:rsidRPr="003C5D48">
              <w:t>here is some confidence that the recommendation offers the best current guidance for practice. This is based on: (a) limited evidence for a true net effect (e.g., benefits exceed harms); (b) consistent results, but with important exceptions; (c) concerns about study quality; and/or (d) the extent of panelists’ agreement. Other considerations (discussed in the guideline’s literature review and analyses) may also warrant a weak recommendation</w:t>
            </w:r>
            <w:r>
              <w:t>.</w:t>
            </w:r>
          </w:p>
        </w:tc>
      </w:tr>
    </w:tbl>
    <w:p w14:paraId="56949770" w14:textId="228A4510" w:rsidR="00A57F40" w:rsidRDefault="00A57F40" w:rsidP="00B33DBB">
      <w:pPr>
        <w:pStyle w:val="TableTitle"/>
      </w:pPr>
      <w:r w:rsidRPr="006C2DF3">
        <w:rPr>
          <w:b/>
          <w:bCs/>
        </w:rPr>
        <w:t xml:space="preserve">Table </w:t>
      </w:r>
      <w:r w:rsidR="00B05334" w:rsidRPr="006C2DF3">
        <w:rPr>
          <w:b/>
          <w:bCs/>
        </w:rPr>
        <w:t>3</w:t>
      </w:r>
      <w:r w:rsidR="00493DDA" w:rsidRPr="006C2DF3">
        <w:rPr>
          <w:b/>
          <w:bCs/>
        </w:rPr>
        <w:t>4</w:t>
      </w:r>
      <w:r w:rsidR="006C2DF3" w:rsidRPr="006C2DF3">
        <w:rPr>
          <w:b/>
          <w:bCs/>
        </w:rPr>
        <w:t>.</w:t>
      </w:r>
      <w:r w:rsidR="001D4BE7">
        <w:t xml:space="preserve"> ASCO (2023</w:t>
      </w:r>
      <w:r w:rsidR="00B33DBB">
        <w:t>)</w:t>
      </w:r>
      <w:r w:rsidR="00D37E2C">
        <w:t xml:space="preserve"> </w:t>
      </w:r>
      <w:r w:rsidR="001D4BE7">
        <w:t xml:space="preserve">Guidelines that Support the Measure </w:t>
      </w:r>
    </w:p>
    <w:tbl>
      <w:tblPr>
        <w:tblStyle w:val="AlternateTable"/>
        <w:tblW w:w="5000" w:type="pct"/>
        <w:tblLook w:val="04A0" w:firstRow="1" w:lastRow="0" w:firstColumn="1" w:lastColumn="0" w:noHBand="0" w:noVBand="1"/>
      </w:tblPr>
      <w:tblGrid>
        <w:gridCol w:w="9810"/>
        <w:gridCol w:w="1710"/>
        <w:gridCol w:w="1440"/>
      </w:tblGrid>
      <w:tr w:rsidR="00A57F40" w:rsidRPr="00EA5BE0" w14:paraId="21F86677" w14:textId="77777777" w:rsidTr="00EA453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810" w:type="dxa"/>
            <w:vAlign w:val="bottom"/>
            <w:hideMark/>
          </w:tcPr>
          <w:p w14:paraId="1D828911" w14:textId="77777777" w:rsidR="00A57F40" w:rsidRPr="00625185" w:rsidRDefault="00A57F40" w:rsidP="00256A61">
            <w:pPr>
              <w:pStyle w:val="TableHeaderLeft"/>
            </w:pPr>
            <w:r w:rsidRPr="00625185">
              <w:t>Verbatim Guideline</w:t>
            </w:r>
          </w:p>
        </w:tc>
        <w:tc>
          <w:tcPr>
            <w:tcW w:w="1710" w:type="dxa"/>
            <w:vAlign w:val="bottom"/>
            <w:hideMark/>
          </w:tcPr>
          <w:p w14:paraId="33D121CD" w14:textId="77777777" w:rsidR="00A57F40" w:rsidRPr="00625185" w:rsidRDefault="00A57F40" w:rsidP="00256A61">
            <w:pPr>
              <w:pStyle w:val="TableHeaderCenter"/>
              <w:cnfStyle w:val="100000000000" w:firstRow="1" w:lastRow="0" w:firstColumn="0" w:lastColumn="0" w:oddVBand="0" w:evenVBand="0" w:oddHBand="0" w:evenHBand="0" w:firstRowFirstColumn="0" w:firstRowLastColumn="0" w:lastRowFirstColumn="0" w:lastRowLastColumn="0"/>
            </w:pPr>
            <w:r w:rsidRPr="00625185">
              <w:t>Strength of Recommendation</w:t>
            </w:r>
          </w:p>
        </w:tc>
        <w:tc>
          <w:tcPr>
            <w:tcW w:w="1440" w:type="dxa"/>
            <w:vAlign w:val="bottom"/>
            <w:hideMark/>
          </w:tcPr>
          <w:p w14:paraId="790A7A07" w14:textId="1B18A427" w:rsidR="00A57F40" w:rsidRPr="00625185" w:rsidRDefault="00323771" w:rsidP="00256A61">
            <w:pPr>
              <w:pStyle w:val="TableHeaderCenter"/>
              <w:cnfStyle w:val="100000000000" w:firstRow="1" w:lastRow="0" w:firstColumn="0" w:lastColumn="0" w:oddVBand="0" w:evenVBand="0" w:oddHBand="0" w:evenHBand="0" w:firstRowFirstColumn="0" w:firstRowLastColumn="0" w:lastRowFirstColumn="0" w:lastRowLastColumn="0"/>
            </w:pPr>
            <w:r w:rsidRPr="00625185">
              <w:t>Evidence Quality</w:t>
            </w:r>
          </w:p>
        </w:tc>
      </w:tr>
      <w:tr w:rsidR="00521A5C" w:rsidRPr="00EA5BE0" w14:paraId="4A8E171A" w14:textId="77777777" w:rsidTr="00EA4531">
        <w:tc>
          <w:tcPr>
            <w:cnfStyle w:val="001000000000" w:firstRow="0" w:lastRow="0" w:firstColumn="1" w:lastColumn="0" w:oddVBand="0" w:evenVBand="0" w:oddHBand="0" w:evenHBand="0" w:firstRowFirstColumn="0" w:firstRowLastColumn="0" w:lastRowFirstColumn="0" w:lastRowLastColumn="0"/>
            <w:tcW w:w="9810" w:type="dxa"/>
            <w:shd w:val="clear" w:color="auto" w:fill="0B2949" w:themeFill="accent1"/>
          </w:tcPr>
          <w:p w14:paraId="7F7AB2E6" w14:textId="093141F1" w:rsidR="00521A5C" w:rsidRPr="00D81BF7" w:rsidRDefault="00521A5C" w:rsidP="00256A61">
            <w:pPr>
              <w:pStyle w:val="TableRowHead"/>
              <w:rPr>
                <w:color w:val="000000"/>
              </w:rPr>
            </w:pPr>
            <w:r w:rsidRPr="00625185">
              <w:t xml:space="preserve">Guidelines focused on cancer patients </w:t>
            </w:r>
          </w:p>
        </w:tc>
        <w:tc>
          <w:tcPr>
            <w:tcW w:w="1710" w:type="dxa"/>
            <w:shd w:val="clear" w:color="auto" w:fill="0B2949" w:themeFill="accent1"/>
          </w:tcPr>
          <w:p w14:paraId="212E15FF" w14:textId="77777777" w:rsidR="00521A5C" w:rsidRDefault="00521A5C" w:rsidP="00256A61">
            <w:pPr>
              <w:pStyle w:val="TableRowHead"/>
              <w:cnfStyle w:val="000000000000" w:firstRow="0" w:lastRow="0" w:firstColumn="0" w:lastColumn="0" w:oddVBand="0" w:evenVBand="0" w:oddHBand="0" w:evenHBand="0" w:firstRowFirstColumn="0" w:firstRowLastColumn="0" w:lastRowFirstColumn="0" w:lastRowLastColumn="0"/>
              <w:rPr>
                <w:color w:val="000000"/>
              </w:rPr>
            </w:pPr>
          </w:p>
        </w:tc>
        <w:tc>
          <w:tcPr>
            <w:tcW w:w="1440" w:type="dxa"/>
            <w:shd w:val="clear" w:color="auto" w:fill="0B2949" w:themeFill="accent1"/>
          </w:tcPr>
          <w:p w14:paraId="000E959B" w14:textId="77777777" w:rsidR="00521A5C" w:rsidRDefault="00521A5C" w:rsidP="00256A61">
            <w:pPr>
              <w:pStyle w:val="TableRowHead"/>
              <w:cnfStyle w:val="000000000000" w:firstRow="0" w:lastRow="0" w:firstColumn="0" w:lastColumn="0" w:oddVBand="0" w:evenVBand="0" w:oddHBand="0" w:evenHBand="0" w:firstRowFirstColumn="0" w:firstRowLastColumn="0" w:lastRowFirstColumn="0" w:lastRowLastColumn="0"/>
              <w:rPr>
                <w:color w:val="000000"/>
              </w:rPr>
            </w:pPr>
          </w:p>
        </w:tc>
      </w:tr>
      <w:tr w:rsidR="00A57F40" w:rsidRPr="00EA5BE0" w14:paraId="4D704E9F"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45BA65FF" w14:textId="708206F4" w:rsidR="00A57F40" w:rsidRPr="00EA5BE0" w:rsidRDefault="00D81BF7" w:rsidP="00256A61">
            <w:pPr>
              <w:pStyle w:val="TableTextLeft"/>
            </w:pPr>
            <w:r w:rsidRPr="00D81BF7">
              <w:t>1.1. Hospitalized patients who have active malignancy and acute medical illness or reduced mobility should be offered pharmacologic thromboprophylaxis in the absence of bleeding or other contraindications</w:t>
            </w:r>
          </w:p>
        </w:tc>
        <w:tc>
          <w:tcPr>
            <w:tcW w:w="1710" w:type="dxa"/>
            <w:hideMark/>
          </w:tcPr>
          <w:p w14:paraId="1AE7C90C" w14:textId="2D901309" w:rsidR="00A57F40" w:rsidRPr="00EA5BE0" w:rsidRDefault="00716BAF" w:rsidP="0086465C">
            <w:pPr>
              <w:pStyle w:val="TableTextLeft"/>
              <w:cnfStyle w:val="000000000000" w:firstRow="0" w:lastRow="0" w:firstColumn="0" w:lastColumn="0" w:oddVBand="0" w:evenVBand="0" w:oddHBand="0" w:evenHBand="0" w:firstRowFirstColumn="0" w:firstRowLastColumn="0" w:lastRowFirstColumn="0" w:lastRowLastColumn="0"/>
            </w:pPr>
            <w:r>
              <w:t>Moderate</w:t>
            </w:r>
          </w:p>
        </w:tc>
        <w:tc>
          <w:tcPr>
            <w:tcW w:w="1440" w:type="dxa"/>
            <w:hideMark/>
          </w:tcPr>
          <w:p w14:paraId="491889EE" w14:textId="1C941830" w:rsidR="00A57F40" w:rsidRPr="00EA5BE0" w:rsidRDefault="00716BAF" w:rsidP="0086465C">
            <w:pPr>
              <w:pStyle w:val="TableTextLeft"/>
              <w:cnfStyle w:val="000000000000" w:firstRow="0" w:lastRow="0" w:firstColumn="0" w:lastColumn="0" w:oddVBand="0" w:evenVBand="0" w:oddHBand="0" w:evenHBand="0" w:firstRowFirstColumn="0" w:firstRowLastColumn="0" w:lastRowFirstColumn="0" w:lastRowLastColumn="0"/>
            </w:pPr>
            <w:r>
              <w:t>Intermediate</w:t>
            </w:r>
          </w:p>
        </w:tc>
      </w:tr>
      <w:tr w:rsidR="00A57F40" w:rsidRPr="00EA5BE0" w14:paraId="6539DCC2"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6884F776" w14:textId="37546C8E" w:rsidR="00A57F40" w:rsidRPr="00EA5BE0" w:rsidRDefault="00434454" w:rsidP="00256A61">
            <w:pPr>
              <w:pStyle w:val="TableTextLeft"/>
            </w:pPr>
            <w:r>
              <w:t>1.2.</w:t>
            </w:r>
            <w:r w:rsidRPr="00434454">
              <w:t xml:space="preserve"> Hospitalized patients who have active malignancy without additional risk factors may be offered pharmacologic thromboprophylaxis in the absence of bleeding or other contraindications</w:t>
            </w:r>
          </w:p>
        </w:tc>
        <w:tc>
          <w:tcPr>
            <w:tcW w:w="1710" w:type="dxa"/>
            <w:noWrap/>
            <w:hideMark/>
          </w:tcPr>
          <w:p w14:paraId="50165191" w14:textId="02E82750" w:rsidR="00A57F40" w:rsidRPr="00EA5BE0" w:rsidRDefault="003415B2" w:rsidP="0086465C">
            <w:pPr>
              <w:pStyle w:val="TableTextLeft"/>
              <w:cnfStyle w:val="000000000000" w:firstRow="0" w:lastRow="0" w:firstColumn="0" w:lastColumn="0" w:oddVBand="0" w:evenVBand="0" w:oddHBand="0" w:evenHBand="0" w:firstRowFirstColumn="0" w:firstRowLastColumn="0" w:lastRowFirstColumn="0" w:lastRowLastColumn="0"/>
            </w:pPr>
            <w:r>
              <w:t>Moderate</w:t>
            </w:r>
          </w:p>
        </w:tc>
        <w:tc>
          <w:tcPr>
            <w:tcW w:w="1440" w:type="dxa"/>
            <w:noWrap/>
            <w:hideMark/>
          </w:tcPr>
          <w:p w14:paraId="03441081" w14:textId="3A5D3D57" w:rsidR="00A57F40" w:rsidRPr="00EA5BE0" w:rsidRDefault="00323771" w:rsidP="0086465C">
            <w:pPr>
              <w:pStyle w:val="TableTextLeft"/>
              <w:cnfStyle w:val="000000000000" w:firstRow="0" w:lastRow="0" w:firstColumn="0" w:lastColumn="0" w:oddVBand="0" w:evenVBand="0" w:oddHBand="0" w:evenHBand="0" w:firstRowFirstColumn="0" w:firstRowLastColumn="0" w:lastRowFirstColumn="0" w:lastRowLastColumn="0"/>
            </w:pPr>
            <w:r>
              <w:t>Low</w:t>
            </w:r>
          </w:p>
        </w:tc>
      </w:tr>
      <w:tr w:rsidR="00A57F40" w:rsidRPr="00EA5BE0" w14:paraId="2E7E6DCD"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77D6EBA5" w14:textId="5D2569B4" w:rsidR="00A57F40" w:rsidRPr="00EA5BE0" w:rsidRDefault="006D5ED5" w:rsidP="00256A61">
            <w:pPr>
              <w:pStyle w:val="TableTextLeft"/>
            </w:pPr>
            <w:r>
              <w:t>1.3</w:t>
            </w:r>
            <w:r w:rsidR="00434454">
              <w:t xml:space="preserve"> </w:t>
            </w:r>
            <w:r w:rsidR="00434454" w:rsidRPr="00434454">
              <w:t>Routine pharmacologic thromboprophylaxis should not be offered to patients admitted for the sole purpose of minor procedures or chemotherapy infusion nor to patients undergoing stem-cell/bone marrow transplantation</w:t>
            </w:r>
          </w:p>
        </w:tc>
        <w:tc>
          <w:tcPr>
            <w:tcW w:w="1710" w:type="dxa"/>
            <w:noWrap/>
            <w:hideMark/>
          </w:tcPr>
          <w:p w14:paraId="0B1B22BD" w14:textId="24575C83" w:rsidR="00A57F40" w:rsidRPr="00EA5BE0" w:rsidRDefault="007217E9" w:rsidP="0086465C">
            <w:pPr>
              <w:pStyle w:val="TableTextLeft"/>
              <w:cnfStyle w:val="000000000000" w:firstRow="0" w:lastRow="0" w:firstColumn="0" w:lastColumn="0" w:oddVBand="0" w:evenVBand="0" w:oddHBand="0" w:evenHBand="0" w:firstRowFirstColumn="0" w:firstRowLastColumn="0" w:lastRowFirstColumn="0" w:lastRowLastColumn="0"/>
            </w:pPr>
            <w:r>
              <w:t>Moderate</w:t>
            </w:r>
          </w:p>
        </w:tc>
        <w:tc>
          <w:tcPr>
            <w:tcW w:w="1440" w:type="dxa"/>
            <w:noWrap/>
            <w:hideMark/>
          </w:tcPr>
          <w:p w14:paraId="2B1061A3" w14:textId="6C7BF7D4" w:rsidR="00A57F40" w:rsidRPr="00EA5BE0" w:rsidRDefault="007217E9" w:rsidP="0086465C">
            <w:pPr>
              <w:pStyle w:val="TableTextLeft"/>
              <w:cnfStyle w:val="000000000000" w:firstRow="0" w:lastRow="0" w:firstColumn="0" w:lastColumn="0" w:oddVBand="0" w:evenVBand="0" w:oddHBand="0" w:evenHBand="0" w:firstRowFirstColumn="0" w:firstRowLastColumn="0" w:lastRowFirstColumn="0" w:lastRowLastColumn="0"/>
            </w:pPr>
            <w:r>
              <w:t>Insufficient</w:t>
            </w:r>
          </w:p>
        </w:tc>
      </w:tr>
      <w:tr w:rsidR="00A57F40" w:rsidRPr="00EA5BE0" w14:paraId="24E5E38A"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4347252B" w14:textId="0ECD8D04" w:rsidR="00A57F40" w:rsidRPr="00EA5BE0" w:rsidRDefault="00FC0200" w:rsidP="00256A61">
            <w:pPr>
              <w:pStyle w:val="TableTextLeft"/>
            </w:pPr>
            <w:r w:rsidRPr="00FC0200">
              <w:t>3.1. All patients with malignant disease undergoing major surgical intervention should be offered pharmacologic thromboprophylaxis with either UFH or LMWH unless contraindicated because of active bleeding, high bleeding risk, or other contraindications</w:t>
            </w:r>
          </w:p>
        </w:tc>
        <w:tc>
          <w:tcPr>
            <w:tcW w:w="1710" w:type="dxa"/>
            <w:noWrap/>
            <w:hideMark/>
          </w:tcPr>
          <w:p w14:paraId="1B69B857" w14:textId="37E995CD" w:rsidR="00A57F40" w:rsidRPr="00EA5BE0" w:rsidRDefault="00431B5B" w:rsidP="0086465C">
            <w:pPr>
              <w:pStyle w:val="TableTextLeft"/>
              <w:cnfStyle w:val="000000000000" w:firstRow="0" w:lastRow="0" w:firstColumn="0" w:lastColumn="0" w:oddVBand="0" w:evenVBand="0" w:oddHBand="0" w:evenHBand="0" w:firstRowFirstColumn="0" w:firstRowLastColumn="0" w:lastRowFirstColumn="0" w:lastRowLastColumn="0"/>
            </w:pPr>
            <w:r>
              <w:t>Strong</w:t>
            </w:r>
          </w:p>
        </w:tc>
        <w:tc>
          <w:tcPr>
            <w:tcW w:w="1440" w:type="dxa"/>
            <w:noWrap/>
            <w:hideMark/>
          </w:tcPr>
          <w:p w14:paraId="41D1B3A7" w14:textId="4D574801" w:rsidR="00A57F40" w:rsidRPr="00EA5BE0" w:rsidRDefault="007217E9" w:rsidP="0086465C">
            <w:pPr>
              <w:pStyle w:val="TableTextLeft"/>
              <w:cnfStyle w:val="000000000000" w:firstRow="0" w:lastRow="0" w:firstColumn="0" w:lastColumn="0" w:oddVBand="0" w:evenVBand="0" w:oddHBand="0" w:evenHBand="0" w:firstRowFirstColumn="0" w:firstRowLastColumn="0" w:lastRowFirstColumn="0" w:lastRowLastColumn="0"/>
            </w:pPr>
            <w:r>
              <w:t>High</w:t>
            </w:r>
          </w:p>
        </w:tc>
      </w:tr>
      <w:tr w:rsidR="00A57F40" w:rsidRPr="00EA5BE0" w14:paraId="421F0759"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2256DEC1" w14:textId="37385FC1" w:rsidR="00A57F40" w:rsidRPr="00EA5BE0" w:rsidRDefault="005635CE" w:rsidP="00256A61">
            <w:pPr>
              <w:pStyle w:val="TableTextLeft"/>
            </w:pPr>
            <w:r w:rsidRPr="005635CE">
              <w:t>3.2. Prophylaxis with UFH or LMWH should be commenced preoperatively</w:t>
            </w:r>
          </w:p>
        </w:tc>
        <w:tc>
          <w:tcPr>
            <w:tcW w:w="1710" w:type="dxa"/>
            <w:noWrap/>
            <w:hideMark/>
          </w:tcPr>
          <w:p w14:paraId="79AC5FBC" w14:textId="16838C5A" w:rsidR="00A57F40" w:rsidRPr="00EA5BE0" w:rsidRDefault="00AF7289" w:rsidP="0086465C">
            <w:pPr>
              <w:pStyle w:val="TableTextLeft"/>
              <w:cnfStyle w:val="000000000000" w:firstRow="0" w:lastRow="0" w:firstColumn="0" w:lastColumn="0" w:oddVBand="0" w:evenVBand="0" w:oddHBand="0" w:evenHBand="0" w:firstRowFirstColumn="0" w:firstRowLastColumn="0" w:lastRowFirstColumn="0" w:lastRowLastColumn="0"/>
            </w:pPr>
            <w:r>
              <w:t>Moderate</w:t>
            </w:r>
          </w:p>
        </w:tc>
        <w:tc>
          <w:tcPr>
            <w:tcW w:w="1440" w:type="dxa"/>
            <w:noWrap/>
            <w:hideMark/>
          </w:tcPr>
          <w:p w14:paraId="64E1B664" w14:textId="1FBFC226" w:rsidR="00A57F40" w:rsidRPr="00EA5BE0" w:rsidRDefault="00AF7289" w:rsidP="0086465C">
            <w:pPr>
              <w:pStyle w:val="TableTextLeft"/>
              <w:cnfStyle w:val="000000000000" w:firstRow="0" w:lastRow="0" w:firstColumn="0" w:lastColumn="0" w:oddVBand="0" w:evenVBand="0" w:oddHBand="0" w:evenHBand="0" w:firstRowFirstColumn="0" w:firstRowLastColumn="0" w:lastRowFirstColumn="0" w:lastRowLastColumn="0"/>
            </w:pPr>
            <w:r>
              <w:t>Intermediate</w:t>
            </w:r>
          </w:p>
        </w:tc>
      </w:tr>
      <w:tr w:rsidR="00383212" w:rsidRPr="00EA5BE0" w14:paraId="3D3606BF"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64ABABBA" w14:textId="4B9C70A7" w:rsidR="00383212" w:rsidRPr="00383212" w:rsidRDefault="005635CE" w:rsidP="00256A61">
            <w:pPr>
              <w:pStyle w:val="TableTextLeft"/>
            </w:pPr>
            <w:r w:rsidRPr="005635CE">
              <w:lastRenderedPageBreak/>
              <w:t>3.3. Mechanical methods may be added to pharmacologic thromboprophylaxis but should not be used as monotherapy for VTE</w:t>
            </w:r>
            <w:r w:rsidR="00A14626">
              <w:t xml:space="preserve"> </w:t>
            </w:r>
            <w:r w:rsidRPr="005635CE">
              <w:t>prevention unless pharmacologic methods are contraindicated because of active bleeding or high bleeding risk</w:t>
            </w:r>
          </w:p>
        </w:tc>
        <w:tc>
          <w:tcPr>
            <w:tcW w:w="1710" w:type="dxa"/>
            <w:noWrap/>
          </w:tcPr>
          <w:p w14:paraId="28E7E5D3" w14:textId="497FDCBA" w:rsidR="00383212" w:rsidRPr="00383212" w:rsidRDefault="00AF7289" w:rsidP="0086465C">
            <w:pPr>
              <w:pStyle w:val="TableTextLeft"/>
              <w:cnfStyle w:val="000000000000" w:firstRow="0" w:lastRow="0" w:firstColumn="0" w:lastColumn="0" w:oddVBand="0" w:evenVBand="0" w:oddHBand="0" w:evenHBand="0" w:firstRowFirstColumn="0" w:firstRowLastColumn="0" w:lastRowFirstColumn="0" w:lastRowLastColumn="0"/>
            </w:pPr>
            <w:r>
              <w:t>Strong</w:t>
            </w:r>
          </w:p>
        </w:tc>
        <w:tc>
          <w:tcPr>
            <w:tcW w:w="1440" w:type="dxa"/>
            <w:noWrap/>
          </w:tcPr>
          <w:p w14:paraId="63688EAA" w14:textId="37717667" w:rsidR="00383212" w:rsidRPr="00383212" w:rsidRDefault="00AF7289" w:rsidP="0086465C">
            <w:pPr>
              <w:pStyle w:val="TableTextLeft"/>
              <w:cnfStyle w:val="000000000000" w:firstRow="0" w:lastRow="0" w:firstColumn="0" w:lastColumn="0" w:oddVBand="0" w:evenVBand="0" w:oddHBand="0" w:evenHBand="0" w:firstRowFirstColumn="0" w:firstRowLastColumn="0" w:lastRowFirstColumn="0" w:lastRowLastColumn="0"/>
            </w:pPr>
            <w:r>
              <w:t>Intermediate</w:t>
            </w:r>
          </w:p>
        </w:tc>
      </w:tr>
      <w:tr w:rsidR="00383212" w:rsidRPr="00EA5BE0" w14:paraId="5EC4510B"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345BD626" w14:textId="20C7CD0B" w:rsidR="00383212" w:rsidRPr="00383212" w:rsidRDefault="005635CE" w:rsidP="00256A61">
            <w:pPr>
              <w:pStyle w:val="TableTextLeft"/>
            </w:pPr>
            <w:r w:rsidRPr="005635CE">
              <w:t>3.4. A combined regimen of pharmacologic and mechanical prophylaxis may improve efficacy, especially in the highest-risk patients</w:t>
            </w:r>
          </w:p>
        </w:tc>
        <w:tc>
          <w:tcPr>
            <w:tcW w:w="1710" w:type="dxa"/>
            <w:noWrap/>
          </w:tcPr>
          <w:p w14:paraId="42333E41" w14:textId="1FDB80CA" w:rsidR="00383212" w:rsidRPr="00383212" w:rsidRDefault="00762947" w:rsidP="0086465C">
            <w:pPr>
              <w:pStyle w:val="TableTextLeft"/>
              <w:cnfStyle w:val="000000000000" w:firstRow="0" w:lastRow="0" w:firstColumn="0" w:lastColumn="0" w:oddVBand="0" w:evenVBand="0" w:oddHBand="0" w:evenHBand="0" w:firstRowFirstColumn="0" w:firstRowLastColumn="0" w:lastRowFirstColumn="0" w:lastRowLastColumn="0"/>
            </w:pPr>
            <w:r>
              <w:t>Moderate</w:t>
            </w:r>
          </w:p>
        </w:tc>
        <w:tc>
          <w:tcPr>
            <w:tcW w:w="1440" w:type="dxa"/>
            <w:noWrap/>
          </w:tcPr>
          <w:p w14:paraId="42E82445" w14:textId="68D5CA46" w:rsidR="00383212" w:rsidRPr="00383212" w:rsidRDefault="00762947" w:rsidP="0086465C">
            <w:pPr>
              <w:pStyle w:val="TableTextLeft"/>
              <w:cnfStyle w:val="000000000000" w:firstRow="0" w:lastRow="0" w:firstColumn="0" w:lastColumn="0" w:oddVBand="0" w:evenVBand="0" w:oddHBand="0" w:evenHBand="0" w:firstRowFirstColumn="0" w:firstRowLastColumn="0" w:lastRowFirstColumn="0" w:lastRowLastColumn="0"/>
            </w:pPr>
            <w:r>
              <w:t>Intermediate</w:t>
            </w:r>
          </w:p>
        </w:tc>
      </w:tr>
      <w:tr w:rsidR="00383212" w:rsidRPr="00EA5BE0" w14:paraId="4D38D9FB"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791231E1" w14:textId="5A5FAF5C" w:rsidR="00383212" w:rsidRPr="00383212" w:rsidRDefault="00B772AE" w:rsidP="00256A61">
            <w:pPr>
              <w:pStyle w:val="TableTextLeft"/>
            </w:pPr>
            <w:r w:rsidRPr="00B772AE">
              <w:t>3.5. Pharmacologic thromboprophylaxis for patients undergoing major surgery for cancer should be continued for at least 7-10 days</w:t>
            </w:r>
          </w:p>
        </w:tc>
        <w:tc>
          <w:tcPr>
            <w:tcW w:w="1710" w:type="dxa"/>
            <w:noWrap/>
          </w:tcPr>
          <w:p w14:paraId="4A1076A1" w14:textId="300B4961" w:rsidR="00383212" w:rsidRPr="00383212" w:rsidRDefault="00762947" w:rsidP="0086465C">
            <w:pPr>
              <w:pStyle w:val="TableTextLeft"/>
              <w:cnfStyle w:val="000000000000" w:firstRow="0" w:lastRow="0" w:firstColumn="0" w:lastColumn="0" w:oddVBand="0" w:evenVBand="0" w:oddHBand="0" w:evenHBand="0" w:firstRowFirstColumn="0" w:firstRowLastColumn="0" w:lastRowFirstColumn="0" w:lastRowLastColumn="0"/>
            </w:pPr>
            <w:r>
              <w:t>Moderate to Strong</w:t>
            </w:r>
          </w:p>
        </w:tc>
        <w:tc>
          <w:tcPr>
            <w:tcW w:w="1440" w:type="dxa"/>
            <w:noWrap/>
          </w:tcPr>
          <w:p w14:paraId="74A3DBEC" w14:textId="41D54AAF" w:rsidR="00383212" w:rsidRPr="00383212" w:rsidRDefault="00762947" w:rsidP="0086465C">
            <w:pPr>
              <w:pStyle w:val="TableTextLeft"/>
              <w:cnfStyle w:val="000000000000" w:firstRow="0" w:lastRow="0" w:firstColumn="0" w:lastColumn="0" w:oddVBand="0" w:evenVBand="0" w:oddHBand="0" w:evenHBand="0" w:firstRowFirstColumn="0" w:firstRowLastColumn="0" w:lastRowFirstColumn="0" w:lastRowLastColumn="0"/>
            </w:pPr>
            <w:r>
              <w:t>High</w:t>
            </w:r>
          </w:p>
        </w:tc>
      </w:tr>
      <w:tr w:rsidR="00383212" w:rsidRPr="00EA5BE0" w14:paraId="61F801F3"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22C616C3" w14:textId="0C90821C" w:rsidR="00383212" w:rsidRPr="00383212" w:rsidRDefault="00180E53" w:rsidP="00256A61">
            <w:pPr>
              <w:pStyle w:val="TableTextLeft"/>
            </w:pPr>
            <w:r w:rsidRPr="00180E53">
              <w:t xml:space="preserve">3.6. Extended pharmacologic thromboprophylaxis for up to 4 weeks postoperatively should be offered to patients undergoing major open or laparoscopic abdominal or pelvic surgery for cancer who have high-risk features, such as restricted mobility, obesity, history of VTE, </w:t>
            </w:r>
            <w:proofErr w:type="gramStart"/>
            <w:r w:rsidRPr="00180E53">
              <w:t>or with</w:t>
            </w:r>
            <w:proofErr w:type="gramEnd"/>
            <w:r w:rsidRPr="00180E53">
              <w:t xml:space="preserve"> additional risk factors. In lower-risk surgical settings, the decision on appropriate duration of thromboprophylaxis should be made on a case-by-case basis</w:t>
            </w:r>
          </w:p>
        </w:tc>
        <w:tc>
          <w:tcPr>
            <w:tcW w:w="1710" w:type="dxa"/>
            <w:noWrap/>
          </w:tcPr>
          <w:p w14:paraId="2463FE8C" w14:textId="73FEE0F1" w:rsidR="00383212" w:rsidRPr="00383212" w:rsidRDefault="00762947" w:rsidP="0086465C">
            <w:pPr>
              <w:pStyle w:val="TableTextLeft"/>
              <w:cnfStyle w:val="000000000000" w:firstRow="0" w:lastRow="0" w:firstColumn="0" w:lastColumn="0" w:oddVBand="0" w:evenVBand="0" w:oddHBand="0" w:evenHBand="0" w:firstRowFirstColumn="0" w:firstRowLastColumn="0" w:lastRowFirstColumn="0" w:lastRowLastColumn="0"/>
            </w:pPr>
            <w:r>
              <w:t>Moderate to Strong</w:t>
            </w:r>
          </w:p>
        </w:tc>
        <w:tc>
          <w:tcPr>
            <w:tcW w:w="1440" w:type="dxa"/>
            <w:noWrap/>
          </w:tcPr>
          <w:p w14:paraId="2B29142E" w14:textId="41923E9C" w:rsidR="00383212" w:rsidRPr="00383212" w:rsidRDefault="00762947" w:rsidP="0086465C">
            <w:pPr>
              <w:pStyle w:val="TableTextLeft"/>
              <w:cnfStyle w:val="000000000000" w:firstRow="0" w:lastRow="0" w:firstColumn="0" w:lastColumn="0" w:oddVBand="0" w:evenVBand="0" w:oddHBand="0" w:evenHBand="0" w:firstRowFirstColumn="0" w:firstRowLastColumn="0" w:lastRowFirstColumn="0" w:lastRowLastColumn="0"/>
            </w:pPr>
            <w:r>
              <w:t>High</w:t>
            </w:r>
          </w:p>
        </w:tc>
      </w:tr>
      <w:tr w:rsidR="00383212" w:rsidRPr="00EA5BE0" w14:paraId="639B8CC8"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7FEE7ADC" w14:textId="56C0E053" w:rsidR="00383212" w:rsidRPr="00EA5BE0" w:rsidRDefault="00431E8F" w:rsidP="00256A61">
            <w:pPr>
              <w:pStyle w:val="TableTextLeft"/>
            </w:pPr>
            <w:r>
              <w:t xml:space="preserve">3.7 </w:t>
            </w:r>
            <w:r w:rsidRPr="00431E8F">
              <w:t>(Updated) Patients who are candidates for extended pharmacologic thromboprophylaxis after surgery may be offered prophylactic doses of LMWH</w:t>
            </w:r>
          </w:p>
        </w:tc>
        <w:tc>
          <w:tcPr>
            <w:tcW w:w="1710" w:type="dxa"/>
            <w:noWrap/>
          </w:tcPr>
          <w:p w14:paraId="7AEC3E95" w14:textId="6D1D78AA" w:rsidR="00383212" w:rsidRPr="00EA5BE0" w:rsidRDefault="00455E06" w:rsidP="0086465C">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440" w:type="dxa"/>
            <w:noWrap/>
          </w:tcPr>
          <w:p w14:paraId="5429D349" w14:textId="197E8D0C" w:rsidR="00383212" w:rsidRPr="00EA5BE0" w:rsidRDefault="00455E06" w:rsidP="0086465C">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High</w:t>
            </w:r>
          </w:p>
        </w:tc>
      </w:tr>
      <w:tr w:rsidR="00383212" w:rsidRPr="00EA5BE0" w14:paraId="381517CF"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704BC7DB" w14:textId="1456048A" w:rsidR="00383212" w:rsidRPr="00EA5BE0" w:rsidRDefault="00A07147" w:rsidP="00256A61">
            <w:pPr>
              <w:pStyle w:val="TableTextLeft"/>
            </w:pPr>
            <w:r>
              <w:t>A</w:t>
            </w:r>
            <w:r w:rsidRPr="00A07147">
              <w:t>lternatively, patients may be offered prophylactic doses of rivaroxaban or apixaban after an initial period of LMWH or UFH T</w:t>
            </w:r>
          </w:p>
        </w:tc>
        <w:tc>
          <w:tcPr>
            <w:tcW w:w="1710" w:type="dxa"/>
            <w:noWrap/>
          </w:tcPr>
          <w:p w14:paraId="263F1EF0" w14:textId="5CCC310E" w:rsidR="00383212" w:rsidRPr="00EA5BE0" w:rsidRDefault="00246795" w:rsidP="0086465C">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w:t>
            </w:r>
          </w:p>
        </w:tc>
        <w:tc>
          <w:tcPr>
            <w:tcW w:w="1440" w:type="dxa"/>
            <w:noWrap/>
          </w:tcPr>
          <w:p w14:paraId="5E9292C2" w14:textId="3625CDA6" w:rsidR="00383212" w:rsidRPr="00EA5BE0" w:rsidRDefault="00246795" w:rsidP="0086465C">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w:t>
            </w:r>
          </w:p>
        </w:tc>
      </w:tr>
      <w:tr w:rsidR="00B772AE" w:rsidRPr="00EA5BE0" w14:paraId="0BABEE72"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5B1FF3E2" w14:textId="1EC9FA4E" w:rsidR="00B772AE" w:rsidRPr="00EA5BE0" w:rsidRDefault="00146A66" w:rsidP="00256A61">
            <w:pPr>
              <w:pStyle w:val="TableTextLeft"/>
            </w:pPr>
            <w:r w:rsidRPr="00146A66">
              <w:t>4.1. (Updated) Initial anticoagulation may involve LMWH, UFH, fondaparinux, rivaroxaban, or apixaban. For patients initiating</w:t>
            </w:r>
            <w:r>
              <w:t xml:space="preserve"> </w:t>
            </w:r>
            <w:r w:rsidRPr="00146A66">
              <w:t>treatment with parenteral anticoagulation, LMWH is preferred over UFH for the initial 5-10 days of anticoagulation for the</w:t>
            </w:r>
            <w:r>
              <w:t xml:space="preserve"> </w:t>
            </w:r>
            <w:r w:rsidRPr="00146A66">
              <w:t xml:space="preserve">patient with cancer with newly diagnosed VTE who </w:t>
            </w:r>
            <w:proofErr w:type="gramStart"/>
            <w:r w:rsidRPr="00146A66">
              <w:t>does not have severe renal impairment</w:t>
            </w:r>
            <w:proofErr w:type="gramEnd"/>
            <w:r w:rsidRPr="00146A66">
              <w:t xml:space="preserve"> (defined as creatinine clearance,30 mL/min)</w:t>
            </w:r>
          </w:p>
        </w:tc>
        <w:tc>
          <w:tcPr>
            <w:tcW w:w="1710" w:type="dxa"/>
            <w:noWrap/>
          </w:tcPr>
          <w:p w14:paraId="73DC0A67" w14:textId="7DF1BC50" w:rsidR="00B772AE" w:rsidRPr="00EA5BE0" w:rsidRDefault="00246795" w:rsidP="0086465C">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440" w:type="dxa"/>
            <w:noWrap/>
          </w:tcPr>
          <w:p w14:paraId="5B88016F" w14:textId="051FCADB" w:rsidR="00B772AE" w:rsidRPr="00EA5BE0" w:rsidRDefault="00246795" w:rsidP="0086465C">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High</w:t>
            </w:r>
          </w:p>
        </w:tc>
      </w:tr>
      <w:tr w:rsidR="00B772AE" w:rsidRPr="00EA5BE0" w14:paraId="50AF6CC8"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5DE74D33" w14:textId="7CD72099" w:rsidR="00B772AE" w:rsidRPr="00EA5BE0" w:rsidRDefault="007E0887" w:rsidP="00256A61">
            <w:pPr>
              <w:pStyle w:val="TableTextLeft"/>
            </w:pPr>
            <w:r w:rsidRPr="007E0887">
              <w:t>4.2. (Updated) For long-term anticoagulation, LMWH, edoxaban, rivaroxaban, or apixaban for at least 6 months are preferred over VKAs because of improved efficacy. VKAs may be used if LMWH or direct factor Xa inhibitors are not accessible. There is reduction in recurrent thrombosis but an increase in clinically relevant nonmajor bleeding risk with direct factor Xa inhibitors compared with LMWH. Caution with direct factor Xa inhibitors is warranted in GI and genitourinary malignancies and other settings with high risk for mucosal bleeding. Drug-drug interaction should be checked before using a direct factor Xa inhibitor</w:t>
            </w:r>
          </w:p>
        </w:tc>
        <w:tc>
          <w:tcPr>
            <w:tcW w:w="1710" w:type="dxa"/>
            <w:noWrap/>
          </w:tcPr>
          <w:p w14:paraId="0D8989CD" w14:textId="1F38CDC1" w:rsidR="00B772AE" w:rsidRPr="00EA5BE0" w:rsidRDefault="00246795" w:rsidP="0086465C">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Strong</w:t>
            </w:r>
          </w:p>
        </w:tc>
        <w:tc>
          <w:tcPr>
            <w:tcW w:w="1440" w:type="dxa"/>
            <w:noWrap/>
          </w:tcPr>
          <w:p w14:paraId="70784301" w14:textId="06AA00B8" w:rsidR="00B772AE" w:rsidRPr="00EA5BE0" w:rsidRDefault="00246795" w:rsidP="0086465C">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High</w:t>
            </w:r>
          </w:p>
        </w:tc>
      </w:tr>
      <w:tr w:rsidR="00B772AE" w:rsidRPr="00EA5BE0" w14:paraId="415B001B"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1076AD99" w14:textId="36795A74" w:rsidR="00B772AE" w:rsidRPr="00EA5BE0" w:rsidRDefault="00130D47" w:rsidP="00256A61">
            <w:pPr>
              <w:pStyle w:val="TableTextLeft"/>
            </w:pPr>
            <w:r w:rsidRPr="00130D47">
              <w:t>4.3. Anticoagulation with LMWH, direct factor Xa inhibitors, or VKAs beyond the initial 6 months should be offered to select</w:t>
            </w:r>
            <w:r>
              <w:t xml:space="preserve"> </w:t>
            </w:r>
            <w:r w:rsidRPr="00130D47">
              <w:t>patients with active cancer, such as those with metastatic disease or those receiving chemotherapy. Anticoagulation beyond 6</w:t>
            </w:r>
            <w:r w:rsidR="00D96928">
              <w:t xml:space="preserve"> </w:t>
            </w:r>
            <w:r w:rsidRPr="00130D47">
              <w:t>months needs to be assessed on an intermittent basis to ensure a continued favorable risk-benefit profile</w:t>
            </w:r>
          </w:p>
        </w:tc>
        <w:tc>
          <w:tcPr>
            <w:tcW w:w="1710" w:type="dxa"/>
            <w:noWrap/>
          </w:tcPr>
          <w:p w14:paraId="33EE7F3B" w14:textId="7FF1B854" w:rsidR="00B772AE" w:rsidRPr="00EA5BE0" w:rsidRDefault="0079272A" w:rsidP="0086465C">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Weak to Moderate</w:t>
            </w:r>
          </w:p>
        </w:tc>
        <w:tc>
          <w:tcPr>
            <w:tcW w:w="1440" w:type="dxa"/>
            <w:noWrap/>
          </w:tcPr>
          <w:p w14:paraId="5F93BA32" w14:textId="2AE9A6DA" w:rsidR="00B772AE" w:rsidRPr="00EA5BE0" w:rsidRDefault="0079272A" w:rsidP="0086465C">
            <w:pPr>
              <w:pStyle w:val="TableTextLeft"/>
              <w:cnfStyle w:val="000000000000" w:firstRow="0" w:lastRow="0" w:firstColumn="0" w:lastColumn="0" w:oddVBand="0" w:evenVBand="0" w:oddHBand="0" w:evenHBand="0" w:firstRowFirstColumn="0" w:firstRowLastColumn="0" w:lastRowFirstColumn="0" w:lastRowLastColumn="0"/>
              <w:rPr>
                <w:color w:val="000000"/>
              </w:rPr>
            </w:pPr>
            <w:r>
              <w:rPr>
                <w:color w:val="000000"/>
              </w:rPr>
              <w:t>Low to Intermediate</w:t>
            </w:r>
          </w:p>
        </w:tc>
      </w:tr>
      <w:tr w:rsidR="00B772AE" w:rsidRPr="00EA5BE0" w14:paraId="3EC05D7E"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3AEA200D" w14:textId="6035961E" w:rsidR="00EB54C1" w:rsidRPr="00EB54C1" w:rsidRDefault="00EB54C1" w:rsidP="00256A61">
            <w:pPr>
              <w:pStyle w:val="TableTextLeft"/>
            </w:pPr>
            <w:r w:rsidRPr="00EB54C1">
              <w:lastRenderedPageBreak/>
              <w:t xml:space="preserve">4.4. On the basis of opinion in the absence of randomized trial data, uncertain short-term benefit, and mounting evidence of </w:t>
            </w:r>
            <w:proofErr w:type="spellStart"/>
            <w:r w:rsidRPr="00EB54C1">
              <w:t>longterm</w:t>
            </w:r>
            <w:proofErr w:type="spellEnd"/>
            <w:r w:rsidRPr="00EB54C1">
              <w:t xml:space="preserve"> harm from filters, the insertion of a vena cava filter should not be offered to patients with established or chronic thrombosis</w:t>
            </w:r>
            <w:r w:rsidR="009A3723">
              <w:t xml:space="preserve"> </w:t>
            </w:r>
            <w:r w:rsidRPr="00EB54C1">
              <w:t>(VTE diagnosis more than 4 weeks ago), nor to patients with temporary contraindications to anticoagulant therapy (</w:t>
            </w:r>
            <w:proofErr w:type="spellStart"/>
            <w:r w:rsidRPr="00EB54C1">
              <w:t>eg</w:t>
            </w:r>
            <w:proofErr w:type="spellEnd"/>
            <w:r w:rsidRPr="00EB54C1">
              <w:t>, surgery).</w:t>
            </w:r>
          </w:p>
          <w:p w14:paraId="1E90D2BA" w14:textId="4CBF3A25" w:rsidR="00EB54C1" w:rsidRPr="00EB54C1" w:rsidRDefault="00EB54C1" w:rsidP="00256A61">
            <w:pPr>
              <w:pStyle w:val="TableTextLeft"/>
            </w:pPr>
            <w:r w:rsidRPr="00EB54C1">
              <w:t>There also is no role for filter insertion for primary prevention or prophylaxis of PE or DVT because of its long-term harm</w:t>
            </w:r>
            <w:r>
              <w:t xml:space="preserve"> </w:t>
            </w:r>
            <w:r w:rsidRPr="00EB54C1">
              <w:t>concerns. It may be offered to patients with absolute contraindications to anticoagulant therapy in the acute treatment setting</w:t>
            </w:r>
          </w:p>
          <w:p w14:paraId="7F5734A2" w14:textId="2DEF3489" w:rsidR="00B772AE" w:rsidRPr="00EA5BE0" w:rsidRDefault="00EB54C1" w:rsidP="00256A61">
            <w:pPr>
              <w:pStyle w:val="TableTextLeft"/>
            </w:pPr>
            <w:r w:rsidRPr="00EB54C1">
              <w:t>(VTE diagnosis within the past 4 weeks) if the thrombus burden was considered life-threatening. Further research is needed</w:t>
            </w:r>
            <w:r>
              <w:t>.</w:t>
            </w:r>
          </w:p>
        </w:tc>
        <w:tc>
          <w:tcPr>
            <w:tcW w:w="1710" w:type="dxa"/>
            <w:noWrap/>
          </w:tcPr>
          <w:p w14:paraId="4F8B383E" w14:textId="42C7755D" w:rsidR="00B772AE" w:rsidRPr="00EA5BE0" w:rsidRDefault="0079272A" w:rsidP="0086465C">
            <w:pPr>
              <w:pStyle w:val="TableTextLeft"/>
              <w:cnfStyle w:val="000000000000" w:firstRow="0" w:lastRow="0" w:firstColumn="0" w:lastColumn="0" w:oddVBand="0" w:evenVBand="0" w:oddHBand="0" w:evenHBand="0" w:firstRowFirstColumn="0" w:firstRowLastColumn="0" w:lastRowFirstColumn="0" w:lastRowLastColumn="0"/>
            </w:pPr>
            <w:r>
              <w:t>Moderate</w:t>
            </w:r>
          </w:p>
        </w:tc>
        <w:tc>
          <w:tcPr>
            <w:tcW w:w="1440" w:type="dxa"/>
            <w:noWrap/>
          </w:tcPr>
          <w:p w14:paraId="2AF97313" w14:textId="50892B2E" w:rsidR="00B772AE" w:rsidRPr="00EA5BE0" w:rsidRDefault="0079272A" w:rsidP="0086465C">
            <w:pPr>
              <w:pStyle w:val="TableTextLeft"/>
              <w:cnfStyle w:val="000000000000" w:firstRow="0" w:lastRow="0" w:firstColumn="0" w:lastColumn="0" w:oddVBand="0" w:evenVBand="0" w:oddHBand="0" w:evenHBand="0" w:firstRowFirstColumn="0" w:firstRowLastColumn="0" w:lastRowFirstColumn="0" w:lastRowLastColumn="0"/>
            </w:pPr>
            <w:r>
              <w:t>Low to Intermediate</w:t>
            </w:r>
          </w:p>
        </w:tc>
      </w:tr>
      <w:tr w:rsidR="00B772AE" w:rsidRPr="00EA5BE0" w14:paraId="7055FAB3"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74CF9073" w14:textId="6EBBADED" w:rsidR="00B772AE" w:rsidRPr="00EA5BE0" w:rsidRDefault="00C46235" w:rsidP="00256A61">
            <w:pPr>
              <w:pStyle w:val="TableTextLeft"/>
            </w:pPr>
            <w:r w:rsidRPr="00C46235">
              <w:t>4.5. The insertion of a vena cava filter may be offered as an adjunct to anticoagulation in patients with progression of thrombosis (recurrent VTE or extension of existing thrombus) despite optimal anticoagulant therapy. This is based on the panel’s expert</w:t>
            </w:r>
            <w:r>
              <w:t xml:space="preserve"> </w:t>
            </w:r>
            <w:r w:rsidRPr="00C46235">
              <w:t>opinion given the absence of a survival improvement, a limited short-term benefit, but mounting evidence of the long-term</w:t>
            </w:r>
            <w:r>
              <w:t xml:space="preserve"> </w:t>
            </w:r>
            <w:r w:rsidRPr="00C46235">
              <w:t>increased risk for VTE</w:t>
            </w:r>
            <w:r>
              <w:t>.</w:t>
            </w:r>
          </w:p>
        </w:tc>
        <w:tc>
          <w:tcPr>
            <w:tcW w:w="1710" w:type="dxa"/>
            <w:noWrap/>
          </w:tcPr>
          <w:p w14:paraId="59E57846" w14:textId="1FF9C572" w:rsidR="00B772AE" w:rsidRPr="00EA5BE0" w:rsidRDefault="00233DE7" w:rsidP="0086465C">
            <w:pPr>
              <w:pStyle w:val="TableTextLeft"/>
              <w:cnfStyle w:val="000000000000" w:firstRow="0" w:lastRow="0" w:firstColumn="0" w:lastColumn="0" w:oddVBand="0" w:evenVBand="0" w:oddHBand="0" w:evenHBand="0" w:firstRowFirstColumn="0" w:firstRowLastColumn="0" w:lastRowFirstColumn="0" w:lastRowLastColumn="0"/>
            </w:pPr>
            <w:r>
              <w:t>Weak</w:t>
            </w:r>
          </w:p>
        </w:tc>
        <w:tc>
          <w:tcPr>
            <w:tcW w:w="1440" w:type="dxa"/>
            <w:noWrap/>
          </w:tcPr>
          <w:p w14:paraId="5343EFDE" w14:textId="3BF54404" w:rsidR="00B772AE" w:rsidRPr="00EA5BE0" w:rsidRDefault="00233DE7" w:rsidP="0086465C">
            <w:pPr>
              <w:pStyle w:val="TableTextLeft"/>
              <w:cnfStyle w:val="000000000000" w:firstRow="0" w:lastRow="0" w:firstColumn="0" w:lastColumn="0" w:oddVBand="0" w:evenVBand="0" w:oddHBand="0" w:evenHBand="0" w:firstRowFirstColumn="0" w:firstRowLastColumn="0" w:lastRowFirstColumn="0" w:lastRowLastColumn="0"/>
            </w:pPr>
            <w:r>
              <w:t>Low to Intermediate</w:t>
            </w:r>
          </w:p>
        </w:tc>
      </w:tr>
      <w:tr w:rsidR="00B772AE" w:rsidRPr="00EA5BE0" w14:paraId="2E55A507"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2D7FAA2D" w14:textId="493692A1" w:rsidR="00B772AE" w:rsidRPr="00EA5BE0" w:rsidRDefault="00916C6F" w:rsidP="00256A61">
            <w:pPr>
              <w:pStyle w:val="TableTextLeft"/>
            </w:pPr>
            <w:r w:rsidRPr="00916C6F">
              <w:t>4.6. For patients with primary or metastatic central nervous system malignancies and established VTE, anticoagulation as</w:t>
            </w:r>
            <w:r>
              <w:t xml:space="preserve"> </w:t>
            </w:r>
            <w:r w:rsidRPr="00916C6F">
              <w:t>described for other patients with cancer should be offered, although uncertainties remain about choice of agents and selection</w:t>
            </w:r>
            <w:r>
              <w:t xml:space="preserve"> </w:t>
            </w:r>
            <w:r w:rsidRPr="00916C6F">
              <w:t>of patients most likely to benefit</w:t>
            </w:r>
            <w:r>
              <w:t>.</w:t>
            </w:r>
          </w:p>
        </w:tc>
        <w:tc>
          <w:tcPr>
            <w:tcW w:w="1710" w:type="dxa"/>
            <w:noWrap/>
          </w:tcPr>
          <w:p w14:paraId="15B051A6" w14:textId="67D3507A" w:rsidR="00B772AE" w:rsidRPr="00EA5BE0" w:rsidRDefault="00233DE7" w:rsidP="0086465C">
            <w:pPr>
              <w:pStyle w:val="TableTextLeft"/>
              <w:cnfStyle w:val="000000000000" w:firstRow="0" w:lastRow="0" w:firstColumn="0" w:lastColumn="0" w:oddVBand="0" w:evenVBand="0" w:oddHBand="0" w:evenHBand="0" w:firstRowFirstColumn="0" w:firstRowLastColumn="0" w:lastRowFirstColumn="0" w:lastRowLastColumn="0"/>
            </w:pPr>
            <w:r>
              <w:t>Moderate</w:t>
            </w:r>
          </w:p>
        </w:tc>
        <w:tc>
          <w:tcPr>
            <w:tcW w:w="1440" w:type="dxa"/>
            <w:noWrap/>
          </w:tcPr>
          <w:p w14:paraId="283903DB" w14:textId="3AB77ACC" w:rsidR="00B772AE" w:rsidRPr="00EA5BE0" w:rsidRDefault="00233DE7" w:rsidP="0086465C">
            <w:pPr>
              <w:pStyle w:val="TableTextLeft"/>
              <w:cnfStyle w:val="000000000000" w:firstRow="0" w:lastRow="0" w:firstColumn="0" w:lastColumn="0" w:oddVBand="0" w:evenVBand="0" w:oddHBand="0" w:evenHBand="0" w:firstRowFirstColumn="0" w:firstRowLastColumn="0" w:lastRowFirstColumn="0" w:lastRowLastColumn="0"/>
            </w:pPr>
            <w:r>
              <w:t>Low</w:t>
            </w:r>
          </w:p>
        </w:tc>
      </w:tr>
      <w:tr w:rsidR="00B772AE" w:rsidRPr="00EA5BE0" w14:paraId="5F054553"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26A8C76D" w14:textId="60C4CE34" w:rsidR="00B772AE" w:rsidRPr="00EA5BE0" w:rsidRDefault="00443384" w:rsidP="00256A61">
            <w:pPr>
              <w:pStyle w:val="TableTextLeft"/>
            </w:pPr>
            <w:r w:rsidRPr="00443384">
              <w:t>4.7. Incidental PE and DVT should be treated in the same manner as symptomatic VTE, given their similar clinical outcomes</w:t>
            </w:r>
            <w:r w:rsidR="00A2243E">
              <w:t xml:space="preserve"> </w:t>
            </w:r>
            <w:r w:rsidRPr="00443384">
              <w:t>compared with patients with cancer with symptomatic events</w:t>
            </w:r>
          </w:p>
        </w:tc>
        <w:tc>
          <w:tcPr>
            <w:tcW w:w="1710" w:type="dxa"/>
            <w:noWrap/>
          </w:tcPr>
          <w:p w14:paraId="33F757D2" w14:textId="71DCB0E6" w:rsidR="00B772AE" w:rsidRPr="00EA5BE0" w:rsidRDefault="00233DE7" w:rsidP="0086465C">
            <w:pPr>
              <w:pStyle w:val="TableTextLeft"/>
              <w:cnfStyle w:val="000000000000" w:firstRow="0" w:lastRow="0" w:firstColumn="0" w:lastColumn="0" w:oddVBand="0" w:evenVBand="0" w:oddHBand="0" w:evenHBand="0" w:firstRowFirstColumn="0" w:firstRowLastColumn="0" w:lastRowFirstColumn="0" w:lastRowLastColumn="0"/>
            </w:pPr>
            <w:r>
              <w:t>Moderate</w:t>
            </w:r>
          </w:p>
        </w:tc>
        <w:tc>
          <w:tcPr>
            <w:tcW w:w="1440" w:type="dxa"/>
            <w:noWrap/>
          </w:tcPr>
          <w:p w14:paraId="32F0E81C" w14:textId="66AE0B70" w:rsidR="00B772AE" w:rsidRPr="00EA5BE0" w:rsidRDefault="00233DE7" w:rsidP="0086465C">
            <w:pPr>
              <w:pStyle w:val="TableTextLeft"/>
              <w:cnfStyle w:val="000000000000" w:firstRow="0" w:lastRow="0" w:firstColumn="0" w:lastColumn="0" w:oddVBand="0" w:evenVBand="0" w:oddHBand="0" w:evenHBand="0" w:firstRowFirstColumn="0" w:firstRowLastColumn="0" w:lastRowFirstColumn="0" w:lastRowLastColumn="0"/>
            </w:pPr>
            <w:r>
              <w:t>Low</w:t>
            </w:r>
          </w:p>
        </w:tc>
      </w:tr>
      <w:tr w:rsidR="00233DE7" w:rsidRPr="00EA5BE0" w14:paraId="6FCC1F7A"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785010CD" w14:textId="474E2A2D" w:rsidR="00233DE7" w:rsidRPr="002A643C" w:rsidRDefault="00AB6A8B" w:rsidP="00256A61">
            <w:pPr>
              <w:pStyle w:val="TableTextLeft"/>
            </w:pPr>
            <w:r>
              <w:t>4</w:t>
            </w:r>
            <w:r w:rsidRPr="00AB6A8B">
              <w:t>.8. Treatment of isolated subsegmental PE or splanchnic or visceral vein thrombi diagnosed incidentally should be offered on a</w:t>
            </w:r>
            <w:r w:rsidR="00A2243E">
              <w:t xml:space="preserve"> </w:t>
            </w:r>
            <w:r w:rsidRPr="00AB6A8B">
              <w:t>case-by-case basis, considering potential benefits and risks of anticoagulation</w:t>
            </w:r>
          </w:p>
        </w:tc>
        <w:tc>
          <w:tcPr>
            <w:tcW w:w="1710" w:type="dxa"/>
            <w:noWrap/>
          </w:tcPr>
          <w:p w14:paraId="32A184A1" w14:textId="4339D8FF" w:rsidR="00233DE7" w:rsidRPr="00EA5BE0" w:rsidRDefault="00AB6A8B" w:rsidP="0086465C">
            <w:pPr>
              <w:pStyle w:val="TableTextLeft"/>
              <w:cnfStyle w:val="000000000000" w:firstRow="0" w:lastRow="0" w:firstColumn="0" w:lastColumn="0" w:oddVBand="0" w:evenVBand="0" w:oddHBand="0" w:evenHBand="0" w:firstRowFirstColumn="0" w:firstRowLastColumn="0" w:lastRowFirstColumn="0" w:lastRowLastColumn="0"/>
            </w:pPr>
            <w:r>
              <w:t>Moderate</w:t>
            </w:r>
          </w:p>
        </w:tc>
        <w:tc>
          <w:tcPr>
            <w:tcW w:w="1440" w:type="dxa"/>
            <w:noWrap/>
          </w:tcPr>
          <w:p w14:paraId="7969ED93" w14:textId="74EC5709" w:rsidR="00233DE7" w:rsidRPr="00EA5BE0" w:rsidRDefault="00AB6A8B" w:rsidP="0086465C">
            <w:pPr>
              <w:pStyle w:val="TableTextLeft"/>
              <w:cnfStyle w:val="000000000000" w:firstRow="0" w:lastRow="0" w:firstColumn="0" w:lastColumn="0" w:oddVBand="0" w:evenVBand="0" w:oddHBand="0" w:evenHBand="0" w:firstRowFirstColumn="0" w:firstRowLastColumn="0" w:lastRowFirstColumn="0" w:lastRowLastColumn="0"/>
            </w:pPr>
            <w:r>
              <w:t>Insufficient</w:t>
            </w:r>
          </w:p>
        </w:tc>
      </w:tr>
      <w:tr w:rsidR="00B772AE" w:rsidRPr="00EA5BE0" w14:paraId="0F3635D4" w14:textId="77777777" w:rsidTr="00EA4531">
        <w:tc>
          <w:tcPr>
            <w:cnfStyle w:val="001000000000" w:firstRow="0" w:lastRow="0" w:firstColumn="1" w:lastColumn="0" w:oddVBand="0" w:evenVBand="0" w:oddHBand="0" w:evenHBand="0" w:firstRowFirstColumn="0" w:firstRowLastColumn="0" w:lastRowFirstColumn="0" w:lastRowLastColumn="0"/>
            <w:tcW w:w="9810" w:type="dxa"/>
          </w:tcPr>
          <w:p w14:paraId="6841621B" w14:textId="53F7EEB8" w:rsidR="00B772AE" w:rsidRPr="00EA5BE0" w:rsidRDefault="002A643C" w:rsidP="00256A61">
            <w:pPr>
              <w:pStyle w:val="TableTextLeft"/>
            </w:pPr>
            <w:r w:rsidRPr="002A643C">
              <w:t>5. Anticoagulant use is not recommended to improve survival in patients with cancer without VTE</w:t>
            </w:r>
          </w:p>
        </w:tc>
        <w:tc>
          <w:tcPr>
            <w:tcW w:w="1710" w:type="dxa"/>
            <w:noWrap/>
          </w:tcPr>
          <w:p w14:paraId="2F5DA7A9" w14:textId="2BA0FCD5" w:rsidR="00B772AE" w:rsidRPr="00EA5BE0" w:rsidRDefault="006058EE" w:rsidP="0086465C">
            <w:pPr>
              <w:pStyle w:val="TableTextLeft"/>
              <w:cnfStyle w:val="000000000000" w:firstRow="0" w:lastRow="0" w:firstColumn="0" w:lastColumn="0" w:oddVBand="0" w:evenVBand="0" w:oddHBand="0" w:evenHBand="0" w:firstRowFirstColumn="0" w:firstRowLastColumn="0" w:lastRowFirstColumn="0" w:lastRowLastColumn="0"/>
            </w:pPr>
            <w:r>
              <w:t>Strong</w:t>
            </w:r>
          </w:p>
        </w:tc>
        <w:tc>
          <w:tcPr>
            <w:tcW w:w="1440" w:type="dxa"/>
            <w:noWrap/>
          </w:tcPr>
          <w:p w14:paraId="36F5CFEB" w14:textId="3F31284B" w:rsidR="00B772AE" w:rsidRPr="00EA5BE0" w:rsidRDefault="006058EE" w:rsidP="0086465C">
            <w:pPr>
              <w:pStyle w:val="TableTextLeft"/>
              <w:cnfStyle w:val="000000000000" w:firstRow="0" w:lastRow="0" w:firstColumn="0" w:lastColumn="0" w:oddVBand="0" w:evenVBand="0" w:oddHBand="0" w:evenHBand="0" w:firstRowFirstColumn="0" w:firstRowLastColumn="0" w:lastRowFirstColumn="0" w:lastRowLastColumn="0"/>
            </w:pPr>
            <w:r>
              <w:t>High</w:t>
            </w:r>
          </w:p>
        </w:tc>
      </w:tr>
    </w:tbl>
    <w:p w14:paraId="5AB67657" w14:textId="1F3FB833" w:rsidR="00F17AEF" w:rsidRPr="00891F2C" w:rsidRDefault="00F17AEF" w:rsidP="00891F2C">
      <w:pPr>
        <w:pStyle w:val="Paragraph"/>
        <w:sectPr w:rsidR="00F17AEF" w:rsidRPr="00891F2C" w:rsidSect="00596355">
          <w:headerReference w:type="default" r:id="rId30"/>
          <w:footerReference w:type="default" r:id="rId31"/>
          <w:headerReference w:type="first" r:id="rId32"/>
          <w:footerReference w:type="first" r:id="rId33"/>
          <w:pgSz w:w="15840" w:h="12240" w:orient="landscape"/>
          <w:pgMar w:top="1440" w:right="1440" w:bottom="1440" w:left="1440" w:header="720" w:footer="720" w:gutter="0"/>
          <w:pgNumType w:start="1"/>
          <w:cols w:space="720"/>
          <w:titlePg/>
          <w:docGrid w:linePitch="299"/>
        </w:sectPr>
      </w:pPr>
    </w:p>
    <w:sdt>
      <w:sdtPr>
        <w:rPr>
          <w:rFonts w:asciiTheme="majorHAnsi" w:eastAsia="Times New Roman" w:hAnsiTheme="majorHAnsi" w:cs="Times New Roman"/>
          <w:noProof/>
          <w:spacing w:val="-2"/>
          <w:sz w:val="18"/>
          <w:szCs w:val="19"/>
        </w:rPr>
        <w:id w:val="1825620111"/>
        <w:docPartObj>
          <w:docPartGallery w:val="Cover Pages"/>
          <w:docPartUnique/>
        </w:docPartObj>
      </w:sdtPr>
      <w:sdtEndPr>
        <w:rPr>
          <w:szCs w:val="18"/>
        </w:rPr>
      </w:sdtEndPr>
      <w:sdtContent>
        <w:p w14:paraId="07B829D3" w14:textId="6105CBCD" w:rsidR="00524AEB" w:rsidRDefault="00524AEB" w:rsidP="000B1C56">
          <w:pPr>
            <w:pStyle w:val="Paragraph"/>
          </w:pPr>
        </w:p>
        <w:p w14:paraId="3F293FBF" w14:textId="77777777" w:rsidR="00524AEB" w:rsidRPr="00EB7C91" w:rsidRDefault="00524AEB" w:rsidP="00A13378">
          <w:pPr>
            <w:pStyle w:val="Covertextborder"/>
            <w:spacing w:before="10400"/>
          </w:pPr>
        </w:p>
        <w:p w14:paraId="2C7F4FCA" w14:textId="77777777" w:rsidR="00524AEB" w:rsidRPr="00177900" w:rsidRDefault="00524AEB" w:rsidP="000B1C56">
          <w:pPr>
            <w:pStyle w:val="CoverHead"/>
            <w:rPr>
              <w:rFonts w:cs="Zilla Slab"/>
            </w:rPr>
          </w:pPr>
          <w:r>
            <w:rPr>
              <w:noProof/>
            </w:rPr>
            <w:drawing>
              <wp:anchor distT="0" distB="0" distL="114300" distR="114300" simplePos="0" relativeHeight="251658241" behindDoc="0" locked="1" layoutInCell="1" allowOverlap="1" wp14:anchorId="7A5E48CB" wp14:editId="0E1B8C3C">
                <wp:simplePos x="0" y="0"/>
                <wp:positionH relativeFrom="margin">
                  <wp:posOffset>4179570</wp:posOffset>
                </wp:positionH>
                <wp:positionV relativeFrom="paragraph">
                  <wp:posOffset>70485</wp:posOffset>
                </wp:positionV>
                <wp:extent cx="1819275" cy="447675"/>
                <wp:effectExtent l="0" t="0" r="9525" b="9525"/>
                <wp:wrapSquare wrapText="bothSides"/>
                <wp:docPr id="37" name="Picture 52" descr="Mathematica logo. Progres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descr="Mathematica logo. Progress Togethe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19275" cy="447675"/>
                        </a:xfrm>
                        <a:prstGeom prst="rect">
                          <a:avLst/>
                        </a:prstGeom>
                      </pic:spPr>
                    </pic:pic>
                  </a:graphicData>
                </a:graphic>
                <wp14:sizeRelH relativeFrom="margin">
                  <wp14:pctWidth>0</wp14:pctWidth>
                </wp14:sizeRelH>
                <wp14:sizeRelV relativeFrom="margin">
                  <wp14:pctHeight>0</wp14:pctHeight>
                </wp14:sizeRelV>
              </wp:anchor>
            </w:drawing>
          </w:r>
          <w:r w:rsidRPr="00177900">
            <w:t>Mathematica</w:t>
          </w:r>
          <w:r>
            <w:t xml:space="preserve"> Inc.</w:t>
          </w:r>
        </w:p>
        <w:p w14:paraId="2B24C436" w14:textId="77777777" w:rsidR="00524AEB" w:rsidRDefault="00524AEB" w:rsidP="00A13378">
          <w:pPr>
            <w:pStyle w:val="CoverText"/>
            <w:spacing w:after="60"/>
            <w:contextualSpacing w:val="0"/>
          </w:pPr>
          <w:r w:rsidRPr="00437B9F">
            <w:t>Our employee-owners work nationwide and around the world.</w:t>
          </w:r>
        </w:p>
        <w:p w14:paraId="3C881E90" w14:textId="02A1656F" w:rsidR="00524AEB" w:rsidRPr="00177900" w:rsidRDefault="00524AEB" w:rsidP="005E2FC0">
          <w:pPr>
            <w:pStyle w:val="CoverText"/>
          </w:pPr>
          <w:r w:rsidRPr="00437B9F">
            <w:t>Find us at</w:t>
          </w:r>
          <w:r w:rsidRPr="00F11E9F">
            <w:rPr>
              <w:rStyle w:val="Default"/>
            </w:rPr>
            <w:t xml:space="preserve"> </w:t>
          </w:r>
          <w:hyperlink r:id="rId34" w:tooltip="Mathematica website." w:history="1">
            <w:r w:rsidRPr="00F11E9F">
              <w:rPr>
                <w:rStyle w:val="HyperlinkEnd"/>
                <w:b/>
                <w:bCs/>
              </w:rPr>
              <w:t>mathematica.org</w:t>
            </w:r>
          </w:hyperlink>
          <w:r w:rsidRPr="00437B9F">
            <w:t xml:space="preserve"> and </w:t>
          </w:r>
          <w:hyperlink r:id="rId35" w:tooltip="EDI Global, A Mathematica Company, website." w:history="1">
            <w:r w:rsidRPr="00F11E9F">
              <w:rPr>
                <w:rStyle w:val="HyperlinkEnd"/>
                <w:b/>
                <w:bCs/>
              </w:rPr>
              <w:t>edi-global.com</w:t>
            </w:r>
          </w:hyperlink>
          <w:r>
            <w:t>.</w:t>
          </w:r>
        </w:p>
        <w:p w14:paraId="4D095713" w14:textId="04BCFB6A" w:rsidR="00524AEB" w:rsidRPr="00F3666D" w:rsidRDefault="00524AEB" w:rsidP="000B1C56">
          <w:pPr>
            <w:pStyle w:val="mathematicaorg"/>
            <w:jc w:val="left"/>
            <w:rPr>
              <w:szCs w:val="18"/>
            </w:rPr>
          </w:pPr>
          <w:r w:rsidRPr="00F3666D">
            <w:rPr>
              <w:szCs w:val="18"/>
            </w:rPr>
            <w:t>Mathematica, Progress Together, and the “spotlight M” logo are registered trademarks of Mathematica Inc.</w:t>
          </w:r>
        </w:p>
      </w:sdtContent>
    </w:sdt>
    <w:sectPr w:rsidR="00524AEB" w:rsidRPr="00F3666D" w:rsidSect="0018375B">
      <w:headerReference w:type="even" r:id="rId36"/>
      <w:headerReference w:type="default" r:id="rId37"/>
      <w:footerReference w:type="even" r:id="rId38"/>
      <w:footerReference w:type="default" r:id="rId39"/>
      <w:headerReference w:type="first" r:id="rId40"/>
      <w:footerReference w:type="first" r:id="rId41"/>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57D7D" w14:textId="77777777" w:rsidR="00C5198D" w:rsidRPr="007A11BD" w:rsidRDefault="00C5198D" w:rsidP="007A11BD">
      <w:pPr>
        <w:pStyle w:val="Anchor"/>
      </w:pPr>
    </w:p>
  </w:endnote>
  <w:endnote w:type="continuationSeparator" w:id="0">
    <w:p w14:paraId="66276646" w14:textId="77777777" w:rsidR="00C5198D" w:rsidRPr="007A11BD" w:rsidRDefault="00C5198D" w:rsidP="007A11BD">
      <w:pPr>
        <w:pStyle w:val="Anchor"/>
      </w:pPr>
    </w:p>
  </w:endnote>
  <w:endnote w:type="continuationNotice" w:id="1">
    <w:p w14:paraId="51F7945D" w14:textId="77777777" w:rsidR="00C5198D" w:rsidRDefault="00C5198D" w:rsidP="007A11BD">
      <w:pPr>
        <w:pStyle w:val="Ancho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roximaNova-Regular">
    <w:altName w:val="Calibri"/>
    <w:panose1 w:val="00000000000000000000"/>
    <w:charset w:val="00"/>
    <w:family w:val="swiss"/>
    <w:notTrueType/>
    <w:pitch w:val="default"/>
    <w:sig w:usb0="00000003"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illa Slab">
    <w:charset w:val="00"/>
    <w:family w:val="auto"/>
    <w:pitch w:val="variable"/>
    <w:sig w:usb0="A00000FF" w:usb1="5001E47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E2CF" w14:textId="77777777" w:rsidR="00095BBA" w:rsidRDefault="00095BBA">
    <w:pPr>
      <w:pStyle w:val="Footer"/>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4D146" w14:textId="77777777" w:rsidR="003C3863" w:rsidRDefault="003C3863" w:rsidP="003C3863">
    <w:pPr>
      <w:pStyle w:val="Footer"/>
    </w:pPr>
    <w:r w:rsidRPr="00C25C16">
      <w:t>Mathematica</w:t>
    </w:r>
    <w:r w:rsidRPr="00C25C16">
      <w:rPr>
        <w:vertAlign w:val="superscript"/>
      </w:rPr>
      <w:t>®</w:t>
    </w:r>
    <w:r w:rsidRPr="00C25C16">
      <w:t xml:space="preserve"> Inc.</w:t>
    </w:r>
    <w:r>
      <w:tab/>
    </w:r>
    <w:r w:rsidRPr="00967B6B">
      <w:fldChar w:fldCharType="begin"/>
    </w:r>
    <w:r w:rsidRPr="00967B6B">
      <w:instrText xml:space="preserve"> PAGE </w:instrText>
    </w:r>
    <w:r w:rsidRPr="00967B6B">
      <w:fldChar w:fldCharType="separate"/>
    </w:r>
    <w:r>
      <w:t>iii</w:t>
    </w:r>
    <w:r w:rsidRPr="00967B6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E8A21" w14:textId="77777777" w:rsidR="00502E9A" w:rsidRDefault="00502E9A" w:rsidP="00502E9A">
    <w:pPr>
      <w:pStyle w:val="Footer"/>
    </w:pPr>
    <w:r w:rsidRPr="00C25C16">
      <w:t>Mathematica</w:t>
    </w:r>
    <w:r w:rsidRPr="00C25C16">
      <w:rPr>
        <w:vertAlign w:val="superscript"/>
      </w:rPr>
      <w:t>®</w:t>
    </w:r>
    <w:r w:rsidRPr="00C25C16">
      <w:t xml:space="preserve"> Inc.</w:t>
    </w:r>
    <w:r>
      <w:tab/>
    </w:r>
    <w:r w:rsidRPr="00967B6B">
      <w:fldChar w:fldCharType="begin"/>
    </w:r>
    <w:r w:rsidRPr="00967B6B">
      <w:instrText xml:space="preserve"> PAGE </w:instrText>
    </w:r>
    <w:r w:rsidRPr="00967B6B">
      <w:fldChar w:fldCharType="separate"/>
    </w:r>
    <w:r>
      <w:t>2</w:t>
    </w:r>
    <w:r w:rsidRPr="00967B6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99ABA" w14:textId="77777777" w:rsidR="00502E9A" w:rsidRPr="00BD724C" w:rsidRDefault="00502E9A" w:rsidP="0086465C">
    <w:pPr>
      <w:pStyle w:val="Footer"/>
      <w:tabs>
        <w:tab w:val="clear" w:pos="10080"/>
        <w:tab w:val="right" w:pos="13680"/>
      </w:tabs>
    </w:pPr>
    <w:r w:rsidRPr="00BD724C">
      <w:t>Mathematica</w:t>
    </w:r>
    <w:r w:rsidRPr="00BD724C">
      <w:rPr>
        <w:vertAlign w:val="superscript"/>
      </w:rPr>
      <w:t>®</w:t>
    </w:r>
    <w:r w:rsidRPr="00BD724C">
      <w:t xml:space="preserve"> Inc.</w:t>
    </w:r>
    <w:r w:rsidRPr="00BD724C">
      <w:tab/>
    </w:r>
    <w:r w:rsidRPr="00BD724C">
      <w:fldChar w:fldCharType="begin"/>
    </w:r>
    <w:r w:rsidRPr="00BD724C">
      <w:instrText xml:space="preserve"> PAGE </w:instrText>
    </w:r>
    <w:r w:rsidRPr="00BD724C">
      <w:fldChar w:fldCharType="separate"/>
    </w:r>
    <w:r>
      <w:t>vii</w:t>
    </w:r>
    <w:r w:rsidRPr="00BD724C">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49029" w14:textId="77777777" w:rsidR="006C686D" w:rsidRPr="00BD724C" w:rsidRDefault="006C686D" w:rsidP="0086465C">
    <w:pPr>
      <w:pStyle w:val="Footer"/>
      <w:tabs>
        <w:tab w:val="clear" w:pos="10080"/>
        <w:tab w:val="right" w:pos="13680"/>
      </w:tabs>
    </w:pPr>
    <w:r w:rsidRPr="00BD724C">
      <w:t>Mathematica</w:t>
    </w:r>
    <w:r w:rsidRPr="00BD724C">
      <w:rPr>
        <w:vertAlign w:val="superscript"/>
      </w:rPr>
      <w:t>®</w:t>
    </w:r>
    <w:r w:rsidRPr="00BD724C">
      <w:t xml:space="preserve"> Inc.</w:t>
    </w:r>
    <w:r w:rsidRPr="00BD724C">
      <w:tab/>
    </w:r>
    <w:r w:rsidRPr="00BD724C">
      <w:fldChar w:fldCharType="begin"/>
    </w:r>
    <w:r w:rsidRPr="00BD724C">
      <w:instrText xml:space="preserve"> PAGE </w:instrText>
    </w:r>
    <w:r w:rsidRPr="00BD724C">
      <w:fldChar w:fldCharType="separate"/>
    </w:r>
    <w:r w:rsidRPr="00BD724C">
      <w:t>iv</w:t>
    </w:r>
    <w:r w:rsidRPr="00BD724C">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D17ED" w14:textId="77777777" w:rsidR="00524AEB" w:rsidRDefault="00524AE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994A" w14:textId="77777777" w:rsidR="00524AEB" w:rsidRPr="00095BBA" w:rsidRDefault="00524AEB" w:rsidP="00524AE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E7F97" w14:textId="77777777" w:rsidR="00524AEB" w:rsidRPr="00BD724C" w:rsidRDefault="00524AEB">
    <w:pPr>
      <w:pStyle w:val="Footer"/>
    </w:pPr>
    <w:r w:rsidRPr="00BD724C">
      <w:t>Mathematica</w:t>
    </w:r>
    <w:r w:rsidRPr="00BD724C">
      <w:rPr>
        <w:vertAlign w:val="superscript"/>
      </w:rPr>
      <w:t>®</w:t>
    </w:r>
    <w:r w:rsidRPr="00BD724C">
      <w:t xml:space="preserve"> Inc.</w:t>
    </w:r>
    <w:r w:rsidRPr="00BD724C">
      <w:tab/>
    </w:r>
    <w:r w:rsidRPr="00BD724C">
      <w:fldChar w:fldCharType="begin"/>
    </w:r>
    <w:r w:rsidRPr="00BD724C">
      <w:instrText xml:space="preserve"> PAGE </w:instrText>
    </w:r>
    <w:r w:rsidRPr="00BD724C">
      <w:fldChar w:fldCharType="separate"/>
    </w:r>
    <w:r w:rsidRPr="00BD724C">
      <w:t>iv</w:t>
    </w:r>
    <w:r w:rsidRPr="00BD724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D6FFE" w14:textId="77777777" w:rsidR="00C5198D" w:rsidRPr="00CC6F21" w:rsidRDefault="00C5198D" w:rsidP="003842A6">
      <w:pPr>
        <w:pStyle w:val="FootnoteSep"/>
      </w:pPr>
      <w:r>
        <w:separator/>
      </w:r>
    </w:p>
  </w:footnote>
  <w:footnote w:type="continuationSeparator" w:id="0">
    <w:p w14:paraId="18CA49F9" w14:textId="77777777" w:rsidR="00C5198D" w:rsidRPr="00CC6F21" w:rsidRDefault="00C5198D" w:rsidP="003842A6">
      <w:pPr>
        <w:pStyle w:val="FootnoteSep"/>
      </w:pPr>
      <w:r>
        <w:continuationSeparator/>
      </w:r>
    </w:p>
  </w:footnote>
  <w:footnote w:type="continuationNotice" w:id="1">
    <w:p w14:paraId="31070DA8" w14:textId="77777777" w:rsidR="00C5198D" w:rsidRDefault="00C5198D" w:rsidP="003842A6">
      <w:pPr>
        <w:pStyle w:val="NoSpacing"/>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2E33A" w14:textId="77777777" w:rsidR="00524AEB" w:rsidRDefault="00524AEB" w:rsidP="00524AEB">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A83F8" w14:textId="77777777" w:rsidR="0021697E" w:rsidRDefault="0021697E" w:rsidP="00502E9A">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E4D6D" w14:textId="26D177EA" w:rsidR="00F11E9F" w:rsidRPr="006C686D" w:rsidRDefault="00502E9A" w:rsidP="006C686D">
    <w:pPr>
      <w:pStyle w:val="Header"/>
    </w:pPr>
    <w:r>
      <w:rPr>
        <w:b/>
        <w:bCs/>
      </w:rPr>
      <w:t>Contents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A99FF" w14:textId="05693CB7" w:rsidR="0021697E" w:rsidRPr="0021697E" w:rsidRDefault="0021697E" w:rsidP="0021697E">
    <w:pPr>
      <w:pStyle w:val="Header"/>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E5DAA" w14:textId="06A87467" w:rsidR="006C686D" w:rsidRPr="006C686D" w:rsidRDefault="0086465C" w:rsidP="006C686D">
    <w:pPr>
      <w:pStyle w:val="Header"/>
    </w:pPr>
    <w:r>
      <w:t>Clinical Guidelines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C936A" w14:textId="77777777" w:rsidR="00502E9A" w:rsidRPr="00EB7C91" w:rsidRDefault="00502E9A" w:rsidP="00502E9A">
    <w:pPr>
      <w:pStyle w:val="Header"/>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D0B52" w14:textId="77777777" w:rsidR="00524AEB" w:rsidRDefault="00524AE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22DC2" w14:textId="77777777" w:rsidR="00524AEB" w:rsidRPr="00095BBA" w:rsidRDefault="00524AEB" w:rsidP="00524AE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6B182" w14:textId="77777777" w:rsidR="00524AEB" w:rsidRPr="00EB7C91" w:rsidRDefault="00524AEB" w:rsidP="00502E9A">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E2A98E"/>
    <w:lvl w:ilvl="0">
      <w:start w:val="1"/>
      <w:numFmt w:val="decimal"/>
      <w:pStyle w:val="ListNumber5"/>
      <w:lvlText w:val="%1."/>
      <w:lvlJc w:val="left"/>
      <w:pPr>
        <w:tabs>
          <w:tab w:val="num" w:pos="1800"/>
        </w:tabs>
        <w:ind w:left="1800" w:hanging="360"/>
      </w:pPr>
      <w:rPr>
        <w:rFonts w:hint="default"/>
      </w:rPr>
    </w:lvl>
  </w:abstractNum>
  <w:abstractNum w:abstractNumId="1" w15:restartNumberingAfterBreak="0">
    <w:nsid w:val="FFFFFF7D"/>
    <w:multiLevelType w:val="singleLevel"/>
    <w:tmpl w:val="4CE2E99C"/>
    <w:lvl w:ilvl="0">
      <w:start w:val="1"/>
      <w:numFmt w:val="decimal"/>
      <w:pStyle w:val="ListNumber4"/>
      <w:lvlText w:val="%1."/>
      <w:lvlJc w:val="left"/>
      <w:pPr>
        <w:tabs>
          <w:tab w:val="num" w:pos="1440"/>
        </w:tabs>
        <w:ind w:left="1440" w:hanging="360"/>
      </w:pPr>
      <w:rPr>
        <w:rFonts w:hint="default"/>
      </w:rPr>
    </w:lvl>
  </w:abstractNum>
  <w:abstractNum w:abstractNumId="2" w15:restartNumberingAfterBreak="0">
    <w:nsid w:val="FFFFFF7E"/>
    <w:multiLevelType w:val="singleLevel"/>
    <w:tmpl w:val="C16609D6"/>
    <w:lvl w:ilvl="0">
      <w:start w:val="1"/>
      <w:numFmt w:val="decimal"/>
      <w:pStyle w:val="ListNumber3"/>
      <w:lvlText w:val="%1."/>
      <w:lvlJc w:val="left"/>
      <w:pPr>
        <w:tabs>
          <w:tab w:val="num" w:pos="1080"/>
        </w:tabs>
        <w:ind w:left="1080" w:hanging="360"/>
      </w:pPr>
      <w:rPr>
        <w:rFonts w:hint="default"/>
      </w:rPr>
    </w:lvl>
  </w:abstractNum>
  <w:abstractNum w:abstractNumId="3" w15:restartNumberingAfterBreak="0">
    <w:nsid w:val="FFFFFF7F"/>
    <w:multiLevelType w:val="singleLevel"/>
    <w:tmpl w:val="662E6778"/>
    <w:lvl w:ilvl="0">
      <w:start w:val="1"/>
      <w:numFmt w:val="decimal"/>
      <w:pStyle w:val="ListNumber2"/>
      <w:lvlText w:val="%1."/>
      <w:lvlJc w:val="left"/>
      <w:pPr>
        <w:tabs>
          <w:tab w:val="num" w:pos="720"/>
        </w:tabs>
        <w:ind w:left="720" w:hanging="360"/>
      </w:pPr>
      <w:rPr>
        <w:rFonts w:hint="default"/>
      </w:rPr>
    </w:lvl>
  </w:abstractNum>
  <w:abstractNum w:abstractNumId="4" w15:restartNumberingAfterBreak="0">
    <w:nsid w:val="FFFFFF80"/>
    <w:multiLevelType w:val="singleLevel"/>
    <w:tmpl w:val="02B2D40C"/>
    <w:lvl w:ilvl="0">
      <w:start w:val="1"/>
      <w:numFmt w:val="bullet"/>
      <w:pStyle w:val="ListBullet5"/>
      <w:lvlText w:val=""/>
      <w:lvlJc w:val="left"/>
      <w:pPr>
        <w:tabs>
          <w:tab w:val="num" w:pos="2160"/>
        </w:tabs>
        <w:ind w:left="2160" w:hanging="360"/>
      </w:pPr>
      <w:rPr>
        <w:rFonts w:ascii="Symbol" w:hAnsi="Symbol" w:hint="default"/>
      </w:rPr>
    </w:lvl>
  </w:abstractNum>
  <w:abstractNum w:abstractNumId="5" w15:restartNumberingAfterBreak="0">
    <w:nsid w:val="FFFFFF81"/>
    <w:multiLevelType w:val="singleLevel"/>
    <w:tmpl w:val="8AC05C86"/>
    <w:lvl w:ilvl="0">
      <w:start w:val="1"/>
      <w:numFmt w:val="bullet"/>
      <w:pStyle w:val="ListBullet4"/>
      <w:lvlText w:val=""/>
      <w:lvlJc w:val="left"/>
      <w:pPr>
        <w:tabs>
          <w:tab w:val="num" w:pos="1800"/>
        </w:tabs>
        <w:ind w:left="1800" w:hanging="360"/>
      </w:pPr>
      <w:rPr>
        <w:rFonts w:ascii="Symbol" w:hAnsi="Symbol" w:hint="default"/>
      </w:rPr>
    </w:lvl>
  </w:abstractNum>
  <w:abstractNum w:abstractNumId="6" w15:restartNumberingAfterBreak="0">
    <w:nsid w:val="FFFFFF82"/>
    <w:multiLevelType w:val="singleLevel"/>
    <w:tmpl w:val="176CDE68"/>
    <w:lvl w:ilvl="0">
      <w:start w:val="1"/>
      <w:numFmt w:val="bullet"/>
      <w:pStyle w:val="ListBullet3"/>
      <w:lvlText w:val="o"/>
      <w:lvlJc w:val="left"/>
      <w:pPr>
        <w:tabs>
          <w:tab w:val="num" w:pos="540"/>
        </w:tabs>
        <w:ind w:left="540" w:hanging="180"/>
      </w:pPr>
      <w:rPr>
        <w:rFonts w:ascii="Courier New" w:hAnsi="Courier New" w:hint="default"/>
      </w:rPr>
    </w:lvl>
  </w:abstractNum>
  <w:abstractNum w:abstractNumId="7" w15:restartNumberingAfterBreak="0">
    <w:nsid w:val="FFFFFF83"/>
    <w:multiLevelType w:val="singleLevel"/>
    <w:tmpl w:val="E0E68996"/>
    <w:lvl w:ilvl="0">
      <w:start w:val="1"/>
      <w:numFmt w:val="bullet"/>
      <w:pStyle w:val="ListBullet2"/>
      <w:lvlText w:val="–"/>
      <w:lvlJc w:val="left"/>
      <w:pPr>
        <w:tabs>
          <w:tab w:val="num" w:pos="360"/>
        </w:tabs>
        <w:ind w:left="360" w:hanging="180"/>
      </w:pPr>
    </w:lvl>
  </w:abstractNum>
  <w:abstractNum w:abstractNumId="8" w15:restartNumberingAfterBreak="0">
    <w:nsid w:val="FFFFFF88"/>
    <w:multiLevelType w:val="singleLevel"/>
    <w:tmpl w:val="B0D0A774"/>
    <w:lvl w:ilvl="0">
      <w:start w:val="1"/>
      <w:numFmt w:val="decimal"/>
      <w:pStyle w:val="ListNumber"/>
      <w:lvlText w:val="%1."/>
      <w:lvlJc w:val="left"/>
      <w:pPr>
        <w:tabs>
          <w:tab w:val="num" w:pos="360"/>
        </w:tabs>
        <w:ind w:left="360" w:hanging="360"/>
      </w:pPr>
      <w:rPr>
        <w:rFonts w:hint="default"/>
        <w:b/>
        <w:i w:val="0"/>
        <w:color w:val="auto"/>
      </w:rPr>
    </w:lvl>
  </w:abstractNum>
  <w:abstractNum w:abstractNumId="9" w15:restartNumberingAfterBreak="0">
    <w:nsid w:val="FFFFFF89"/>
    <w:multiLevelType w:val="singleLevel"/>
    <w:tmpl w:val="3E106C4E"/>
    <w:lvl w:ilvl="0">
      <w:start w:val="1"/>
      <w:numFmt w:val="bullet"/>
      <w:pStyle w:val="ListBullet"/>
      <w:lvlText w:val=""/>
      <w:lvlJc w:val="left"/>
      <w:pPr>
        <w:tabs>
          <w:tab w:val="num" w:pos="180"/>
        </w:tabs>
        <w:ind w:left="180" w:hanging="180"/>
      </w:pPr>
      <w:rPr>
        <w:rFonts w:ascii="Symbol" w:hAnsi="Symbol" w:hint="default"/>
      </w:rPr>
    </w:lvl>
  </w:abstractNum>
  <w:abstractNum w:abstractNumId="10" w15:restartNumberingAfterBreak="0">
    <w:nsid w:val="007B1462"/>
    <w:multiLevelType w:val="multilevel"/>
    <w:tmpl w:val="291435FA"/>
    <w:numStyleLink w:val="ListOrdered-Body"/>
  </w:abstractNum>
  <w:abstractNum w:abstractNumId="11" w15:restartNumberingAfterBreak="0">
    <w:nsid w:val="03324B80"/>
    <w:multiLevelType w:val="multilevel"/>
    <w:tmpl w:val="8D14CC44"/>
    <w:styleLink w:val="ListOrdered-Table11"/>
    <w:lvl w:ilvl="0">
      <w:start w:val="1"/>
      <w:numFmt w:val="decimal"/>
      <w:pStyle w:val="Table11Numbering"/>
      <w:lvlText w:val="%1."/>
      <w:lvlJc w:val="left"/>
      <w:pPr>
        <w:ind w:left="288" w:hanging="288"/>
      </w:pPr>
      <w:rPr>
        <w:rFonts w:asciiTheme="majorHAnsi" w:hAnsiTheme="majorHAnsi" w:hint="default"/>
      </w:rPr>
    </w:lvl>
    <w:lvl w:ilvl="1">
      <w:start w:val="1"/>
      <w:numFmt w:val="lowerLetter"/>
      <w:lvlText w:val="%2."/>
      <w:lvlJc w:val="left"/>
      <w:pPr>
        <w:ind w:left="576" w:hanging="288"/>
      </w:pPr>
      <w:rPr>
        <w:rFonts w:hint="default"/>
      </w:rPr>
    </w:lvl>
    <w:lvl w:ilvl="2">
      <w:start w:val="1"/>
      <w:numFmt w:val="lowerRoman"/>
      <w:lvlText w:val="%3."/>
      <w:lvlJc w:val="right"/>
      <w:pPr>
        <w:tabs>
          <w:tab w:val="num" w:pos="1008"/>
        </w:tabs>
        <w:ind w:left="864" w:hanging="144"/>
      </w:pPr>
      <w:rPr>
        <w:rFonts w:hint="default"/>
      </w:rPr>
    </w:lvl>
    <w:lvl w:ilvl="3">
      <w:start w:val="1"/>
      <w:numFmt w:val="decimal"/>
      <w:lvlText w:val="%4."/>
      <w:lvlJc w:val="left"/>
      <w:pPr>
        <w:ind w:left="1152" w:hanging="288"/>
      </w:pPr>
      <w:rPr>
        <w:rFonts w:hint="default"/>
        <w:b w:val="0"/>
        <w:i/>
      </w:rPr>
    </w:lvl>
    <w:lvl w:ilvl="4">
      <w:start w:val="1"/>
      <w:numFmt w:val="lowerLetter"/>
      <w:lvlText w:val="%5."/>
      <w:lvlJc w:val="left"/>
      <w:pPr>
        <w:ind w:left="1440" w:hanging="288"/>
      </w:pPr>
      <w:rPr>
        <w:rFonts w:hint="default"/>
        <w:b w:val="0"/>
        <w:i/>
      </w:rPr>
    </w:lvl>
    <w:lvl w:ilvl="5">
      <w:start w:val="1"/>
      <w:numFmt w:val="lowerRoman"/>
      <w:lvlText w:val="%6."/>
      <w:lvlJc w:val="right"/>
      <w:pPr>
        <w:tabs>
          <w:tab w:val="num" w:pos="1584"/>
        </w:tabs>
        <w:ind w:left="1728" w:hanging="144"/>
      </w:pPr>
      <w:rPr>
        <w:rFonts w:hint="default"/>
        <w:b w:val="0"/>
        <w:i/>
      </w:rPr>
    </w:lvl>
    <w:lvl w:ilvl="6">
      <w:start w:val="1"/>
      <w:numFmt w:val="decimal"/>
      <w:lvlText w:val="%7."/>
      <w:lvlJc w:val="left"/>
      <w:pPr>
        <w:ind w:left="2016" w:hanging="288"/>
      </w:pPr>
      <w:rPr>
        <w:rFonts w:hint="default"/>
      </w:rPr>
    </w:lvl>
    <w:lvl w:ilvl="7">
      <w:start w:val="1"/>
      <w:numFmt w:val="lowerLetter"/>
      <w:lvlText w:val="%8."/>
      <w:lvlJc w:val="left"/>
      <w:pPr>
        <w:ind w:left="2304" w:hanging="288"/>
      </w:pPr>
      <w:rPr>
        <w:rFonts w:hint="default"/>
      </w:rPr>
    </w:lvl>
    <w:lvl w:ilvl="8">
      <w:start w:val="1"/>
      <w:numFmt w:val="lowerRoman"/>
      <w:lvlText w:val="%9."/>
      <w:lvlJc w:val="right"/>
      <w:pPr>
        <w:tabs>
          <w:tab w:val="num" w:pos="2448"/>
        </w:tabs>
        <w:ind w:left="2592" w:hanging="144"/>
      </w:pPr>
      <w:rPr>
        <w:rFonts w:hint="default"/>
      </w:rPr>
    </w:lvl>
  </w:abstractNum>
  <w:abstractNum w:abstractNumId="12" w15:restartNumberingAfterBreak="0">
    <w:nsid w:val="03E50D66"/>
    <w:multiLevelType w:val="multilevel"/>
    <w:tmpl w:val="9D4AC124"/>
    <w:styleLink w:val="Feature2"/>
    <w:lvl w:ilvl="0">
      <w:start w:val="1"/>
      <w:numFmt w:val="decimal"/>
      <w:lvlText w:val="%1)"/>
      <w:lvlJc w:val="left"/>
      <w:pPr>
        <w:ind w:left="360" w:hanging="360"/>
      </w:pPr>
      <w:rPr>
        <w:b/>
        <w:color w:val="0B2949" w:themeColor="accent1"/>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7894E48"/>
    <w:multiLevelType w:val="hybridMultilevel"/>
    <w:tmpl w:val="7B26FD56"/>
    <w:lvl w:ilvl="0" w:tplc="5EFC5982">
      <w:start w:val="1"/>
      <w:numFmt w:val="bullet"/>
      <w:pStyle w:val="ListBullet1"/>
      <w:lvlText w:val="/"/>
      <w:lvlJc w:val="left"/>
      <w:pPr>
        <w:tabs>
          <w:tab w:val="num" w:pos="180"/>
        </w:tabs>
        <w:ind w:left="180" w:hanging="180"/>
      </w:pPr>
      <w:rPr>
        <w:rFonts w:ascii="Calibri" w:hAnsi="Calibri" w:hint="default"/>
        <w:b w:val="0"/>
        <w:i w:val="0"/>
        <w:color w:val="5B6771" w:themeColor="accent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8460F9"/>
    <w:multiLevelType w:val="multilevel"/>
    <w:tmpl w:val="D21644BE"/>
    <w:styleLink w:val="Callout-Inline"/>
    <w:lvl w:ilvl="0">
      <w:start w:val="1"/>
      <w:numFmt w:val="bullet"/>
      <w:pStyle w:val="Callout-InlineSource"/>
      <w:suff w:val="space"/>
      <w:lvlText w:val="–"/>
      <w:lvlJc w:val="left"/>
      <w:pPr>
        <w:ind w:left="0" w:firstLine="0"/>
      </w:pPr>
      <w:rPr>
        <w:rFonts w:ascii="Arial Narrow" w:hAnsi="Arial Narrow" w:hint="default"/>
        <w:color w:val="046B5C" w:themeColor="text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08E56F9F"/>
    <w:multiLevelType w:val="hybridMultilevel"/>
    <w:tmpl w:val="AC1A0ACE"/>
    <w:lvl w:ilvl="0" w:tplc="E40402AC">
      <w:start w:val="1"/>
      <w:numFmt w:val="lowerLetter"/>
      <w:pStyle w:val="ListAlpha3"/>
      <w:lvlText w:val="%1."/>
      <w:lvlJc w:val="left"/>
      <w:pPr>
        <w:tabs>
          <w:tab w:val="num" w:pos="1080"/>
        </w:tabs>
        <w:ind w:left="1080" w:hanging="360"/>
      </w:pPr>
      <w:rPr>
        <w:rFonts w:asciiTheme="minorHAnsi" w:hAnsiTheme="minorHAnsi" w:cstheme="minorHAnsi"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0F810A6C"/>
    <w:multiLevelType w:val="multilevel"/>
    <w:tmpl w:val="3C26D8F2"/>
    <w:styleLink w:val="ListBullets-Table11"/>
    <w:lvl w:ilvl="0">
      <w:start w:val="1"/>
      <w:numFmt w:val="bullet"/>
      <w:lvlText w:val="•"/>
      <w:lvlJc w:val="left"/>
      <w:pPr>
        <w:ind w:left="288" w:hanging="288"/>
      </w:pPr>
      <w:rPr>
        <w:rFonts w:ascii="Calibri" w:hAnsi="Calibri" w:hint="default"/>
        <w:color w:val="0B2949" w:themeColor="accent1"/>
      </w:rPr>
    </w:lvl>
    <w:lvl w:ilvl="1">
      <w:start w:val="1"/>
      <w:numFmt w:val="bullet"/>
      <w:lvlText w:val="–"/>
      <w:lvlJc w:val="left"/>
      <w:pPr>
        <w:ind w:left="576" w:hanging="288"/>
      </w:pPr>
      <w:rPr>
        <w:rFonts w:ascii="Calibri" w:hAnsi="Calibri" w:hint="default"/>
        <w:color w:val="0B2949" w:themeColor="accent1"/>
      </w:rPr>
    </w:lvl>
    <w:lvl w:ilvl="2">
      <w:start w:val="1"/>
      <w:numFmt w:val="bullet"/>
      <w:lvlText w:val="»"/>
      <w:lvlJc w:val="left"/>
      <w:pPr>
        <w:ind w:left="864" w:hanging="288"/>
      </w:pPr>
      <w:rPr>
        <w:rFonts w:ascii="Arial" w:hAnsi="Arial" w:hint="default"/>
        <w:color w:val="0B2949" w:themeColor="accent1"/>
      </w:rPr>
    </w:lvl>
    <w:lvl w:ilvl="3">
      <w:start w:val="1"/>
      <w:numFmt w:val="bullet"/>
      <w:lvlText w:val="◦"/>
      <w:lvlJc w:val="left"/>
      <w:pPr>
        <w:ind w:left="1152" w:hanging="288"/>
      </w:pPr>
      <w:rPr>
        <w:rFonts w:ascii="Calibri" w:hAnsi="Calibri" w:hint="default"/>
        <w:color w:val="0B2949" w:themeColor="accent1"/>
      </w:rPr>
    </w:lvl>
    <w:lvl w:ilvl="4">
      <w:start w:val="1"/>
      <w:numFmt w:val="bullet"/>
      <w:lvlText w:val="›"/>
      <w:lvlJc w:val="left"/>
      <w:pPr>
        <w:ind w:left="1440" w:hanging="288"/>
      </w:pPr>
      <w:rPr>
        <w:rFonts w:ascii="Calibri" w:hAnsi="Calibri" w:hint="default"/>
        <w:color w:val="0B2949" w:themeColor="accent1"/>
      </w:rPr>
    </w:lvl>
    <w:lvl w:ilvl="5">
      <w:start w:val="1"/>
      <w:numFmt w:val="bullet"/>
      <w:lvlText w:val="‹"/>
      <w:lvlJc w:val="left"/>
      <w:pPr>
        <w:ind w:left="1728" w:hanging="288"/>
      </w:pPr>
      <w:rPr>
        <w:rFonts w:ascii="Calibri" w:hAnsi="Calibri" w:hint="default"/>
        <w:color w:val="0B2949" w:themeColor="accent1"/>
      </w:rPr>
    </w:lvl>
    <w:lvl w:ilvl="6">
      <w:start w:val="1"/>
      <w:numFmt w:val="bullet"/>
      <w:lvlText w:val="«"/>
      <w:lvlJc w:val="left"/>
      <w:pPr>
        <w:ind w:left="2016" w:hanging="288"/>
      </w:pPr>
      <w:rPr>
        <w:rFonts w:ascii="Calibri" w:hAnsi="Calibri" w:hint="default"/>
        <w:color w:val="0B2949" w:themeColor="accent1"/>
      </w:rPr>
    </w:lvl>
    <w:lvl w:ilvl="7">
      <w:start w:val="1"/>
      <w:numFmt w:val="bullet"/>
      <w:lvlText w:val="-"/>
      <w:lvlJc w:val="left"/>
      <w:pPr>
        <w:ind w:left="2304" w:hanging="288"/>
      </w:pPr>
      <w:rPr>
        <w:rFonts w:ascii="Calibri" w:hAnsi="Calibri" w:hint="default"/>
        <w:color w:val="0B2949" w:themeColor="accent1"/>
      </w:rPr>
    </w:lvl>
    <w:lvl w:ilvl="8">
      <w:start w:val="1"/>
      <w:numFmt w:val="bullet"/>
      <w:lvlText w:val=""/>
      <w:lvlJc w:val="left"/>
      <w:pPr>
        <w:ind w:left="2592" w:hanging="288"/>
      </w:pPr>
      <w:rPr>
        <w:rFonts w:ascii="Wingdings" w:hAnsi="Wingdings" w:hint="default"/>
        <w:color w:val="0B2949" w:themeColor="accent1"/>
      </w:rPr>
    </w:lvl>
  </w:abstractNum>
  <w:abstractNum w:abstractNumId="17" w15:restartNumberingAfterBreak="0">
    <w:nsid w:val="0FFF533D"/>
    <w:multiLevelType w:val="hybridMultilevel"/>
    <w:tmpl w:val="4508ACE0"/>
    <w:lvl w:ilvl="0" w:tplc="AF0E3784">
      <w:start w:val="1"/>
      <w:numFmt w:val="decimal"/>
      <w:pStyle w:val="TableListNumber2"/>
      <w:lvlText w:val="%1."/>
      <w:lvlJc w:val="left"/>
      <w:pPr>
        <w:tabs>
          <w:tab w:val="num" w:pos="432"/>
        </w:tabs>
        <w:ind w:left="432" w:hanging="216"/>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ED3016"/>
    <w:multiLevelType w:val="hybridMultilevel"/>
    <w:tmpl w:val="37FAFE3C"/>
    <w:lvl w:ilvl="0" w:tplc="7228F856">
      <w:start w:val="1"/>
      <w:numFmt w:val="bullet"/>
      <w:pStyle w:val="TableList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C53CFC"/>
    <w:multiLevelType w:val="hybridMultilevel"/>
    <w:tmpl w:val="5DBA44F8"/>
    <w:lvl w:ilvl="0" w:tplc="F154CD68">
      <w:start w:val="1"/>
      <w:numFmt w:val="decimal"/>
      <w:pStyle w:val="TableListNumber"/>
      <w:lvlText w:val="%1."/>
      <w:lvlJc w:val="left"/>
      <w:pPr>
        <w:tabs>
          <w:tab w:val="num" w:pos="216"/>
        </w:tabs>
        <w:ind w:left="216" w:hanging="216"/>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A94574"/>
    <w:multiLevelType w:val="multilevel"/>
    <w:tmpl w:val="6DDE5BCA"/>
    <w:styleLink w:val="ListBullets-Body"/>
    <w:lvl w:ilvl="0">
      <w:start w:val="1"/>
      <w:numFmt w:val="bullet"/>
      <w:lvlText w:val=""/>
      <w:lvlJc w:val="left"/>
      <w:pPr>
        <w:ind w:left="360" w:hanging="360"/>
      </w:pPr>
      <w:rPr>
        <w:rFonts w:ascii="Symbol" w:hAnsi="Symbol" w:hint="default"/>
        <w:color w:val="0B2949" w:themeColor="accent1"/>
      </w:rPr>
    </w:lvl>
    <w:lvl w:ilvl="1">
      <w:start w:val="1"/>
      <w:numFmt w:val="bullet"/>
      <w:lvlText w:val="–"/>
      <w:lvlJc w:val="left"/>
      <w:pPr>
        <w:ind w:left="720" w:hanging="360"/>
      </w:pPr>
      <w:rPr>
        <w:rFonts w:ascii="Calibri" w:hAnsi="Calibri" w:hint="default"/>
        <w:color w:val="0B2949" w:themeColor="accent1"/>
      </w:rPr>
    </w:lvl>
    <w:lvl w:ilvl="2">
      <w:start w:val="1"/>
      <w:numFmt w:val="bullet"/>
      <w:lvlText w:val="»"/>
      <w:lvlJc w:val="left"/>
      <w:pPr>
        <w:ind w:left="1080" w:hanging="360"/>
      </w:pPr>
      <w:rPr>
        <w:rFonts w:ascii="Calibri" w:hAnsi="Calibri" w:hint="default"/>
        <w:color w:val="0B2949" w:themeColor="accent1"/>
      </w:rPr>
    </w:lvl>
    <w:lvl w:ilvl="3">
      <w:start w:val="1"/>
      <w:numFmt w:val="bullet"/>
      <w:lvlText w:val="◦"/>
      <w:lvlJc w:val="left"/>
      <w:pPr>
        <w:ind w:left="1440" w:hanging="360"/>
      </w:pPr>
      <w:rPr>
        <w:rFonts w:ascii="Calibri" w:hAnsi="Calibri" w:hint="default"/>
        <w:color w:val="0B2949" w:themeColor="accent1"/>
      </w:rPr>
    </w:lvl>
    <w:lvl w:ilvl="4">
      <w:start w:val="1"/>
      <w:numFmt w:val="bullet"/>
      <w:lvlText w:val="›"/>
      <w:lvlJc w:val="left"/>
      <w:pPr>
        <w:ind w:left="1800" w:hanging="360"/>
      </w:pPr>
      <w:rPr>
        <w:rFonts w:ascii="Calibri" w:hAnsi="Calibri" w:hint="default"/>
        <w:color w:val="0B2949" w:themeColor="accent1"/>
      </w:rPr>
    </w:lvl>
    <w:lvl w:ilvl="5">
      <w:start w:val="1"/>
      <w:numFmt w:val="bullet"/>
      <w:lvlText w:val="‹"/>
      <w:lvlJc w:val="left"/>
      <w:pPr>
        <w:ind w:left="2160" w:hanging="360"/>
      </w:pPr>
      <w:rPr>
        <w:rFonts w:ascii="Calibri" w:hAnsi="Calibri" w:hint="default"/>
        <w:color w:val="0B2949" w:themeColor="accent1"/>
      </w:rPr>
    </w:lvl>
    <w:lvl w:ilvl="6">
      <w:start w:val="1"/>
      <w:numFmt w:val="bullet"/>
      <w:lvlText w:val="«"/>
      <w:lvlJc w:val="left"/>
      <w:pPr>
        <w:ind w:left="2520" w:hanging="360"/>
      </w:pPr>
      <w:rPr>
        <w:rFonts w:ascii="Calibri" w:hAnsi="Calibri" w:hint="default"/>
        <w:color w:val="0B2949" w:themeColor="accent1"/>
      </w:rPr>
    </w:lvl>
    <w:lvl w:ilvl="7">
      <w:start w:val="1"/>
      <w:numFmt w:val="bullet"/>
      <w:lvlText w:val="-"/>
      <w:lvlJc w:val="left"/>
      <w:pPr>
        <w:ind w:left="2880" w:hanging="360"/>
      </w:pPr>
      <w:rPr>
        <w:rFonts w:ascii="Calibri" w:hAnsi="Calibri" w:hint="default"/>
        <w:color w:val="0B2949" w:themeColor="accent1"/>
      </w:rPr>
    </w:lvl>
    <w:lvl w:ilvl="8">
      <w:start w:val="1"/>
      <w:numFmt w:val="bullet"/>
      <w:lvlText w:val=""/>
      <w:lvlJc w:val="left"/>
      <w:pPr>
        <w:ind w:left="3240" w:hanging="360"/>
      </w:pPr>
      <w:rPr>
        <w:rFonts w:ascii="Wingdings" w:hAnsi="Wingdings" w:hint="default"/>
        <w:color w:val="0B2949" w:themeColor="accent1"/>
      </w:rPr>
    </w:lvl>
  </w:abstractNum>
  <w:abstractNum w:abstractNumId="21" w15:restartNumberingAfterBreak="0">
    <w:nsid w:val="21C700F5"/>
    <w:multiLevelType w:val="hybridMultilevel"/>
    <w:tmpl w:val="C28ABA4C"/>
    <w:lvl w:ilvl="0" w:tplc="FCA6086A">
      <w:start w:val="1"/>
      <w:numFmt w:val="bullet"/>
      <w:pStyle w:val="ESList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ED69CC"/>
    <w:multiLevelType w:val="multilevel"/>
    <w:tmpl w:val="80D4DD62"/>
    <w:styleLink w:val="ListOrdered-Table10000000"/>
    <w:lvl w:ilvl="0">
      <w:start w:val="1"/>
      <w:numFmt w:val="decimal"/>
      <w:lvlText w:val="%1."/>
      <w:lvlJc w:val="left"/>
      <w:pPr>
        <w:ind w:left="288" w:hanging="288"/>
      </w:pPr>
      <w:rPr>
        <w:rFonts w:asciiTheme="majorHAnsi" w:hAnsiTheme="majorHAnsi" w:hint="default"/>
        <w:sz w:val="20"/>
      </w:rPr>
    </w:lvl>
    <w:lvl w:ilvl="1">
      <w:start w:val="1"/>
      <w:numFmt w:val="lowerLetter"/>
      <w:lvlText w:val="%2."/>
      <w:lvlJc w:val="left"/>
      <w:pPr>
        <w:ind w:left="576" w:hanging="288"/>
      </w:pPr>
      <w:rPr>
        <w:rFonts w:hint="default"/>
      </w:rPr>
    </w:lvl>
    <w:lvl w:ilvl="2">
      <w:start w:val="1"/>
      <w:numFmt w:val="lowerRoman"/>
      <w:lvlText w:val="%3."/>
      <w:lvlJc w:val="right"/>
      <w:pPr>
        <w:tabs>
          <w:tab w:val="num" w:pos="1008"/>
        </w:tabs>
        <w:ind w:left="864" w:hanging="144"/>
      </w:pPr>
      <w:rPr>
        <w:rFonts w:hint="default"/>
      </w:rPr>
    </w:lvl>
    <w:lvl w:ilvl="3">
      <w:start w:val="1"/>
      <w:numFmt w:val="decimal"/>
      <w:lvlText w:val="%4."/>
      <w:lvlJc w:val="left"/>
      <w:pPr>
        <w:ind w:left="1152" w:hanging="288"/>
      </w:pPr>
      <w:rPr>
        <w:rFonts w:hint="default"/>
        <w:b w:val="0"/>
        <w:i/>
      </w:rPr>
    </w:lvl>
    <w:lvl w:ilvl="4">
      <w:start w:val="1"/>
      <w:numFmt w:val="lowerLetter"/>
      <w:lvlText w:val="%5."/>
      <w:lvlJc w:val="left"/>
      <w:pPr>
        <w:ind w:left="1440" w:hanging="288"/>
      </w:pPr>
      <w:rPr>
        <w:rFonts w:hint="default"/>
        <w:b w:val="0"/>
        <w:i/>
      </w:rPr>
    </w:lvl>
    <w:lvl w:ilvl="5">
      <w:start w:val="1"/>
      <w:numFmt w:val="lowerRoman"/>
      <w:lvlText w:val="%6."/>
      <w:lvlJc w:val="right"/>
      <w:pPr>
        <w:tabs>
          <w:tab w:val="num" w:pos="1584"/>
        </w:tabs>
        <w:ind w:left="1728" w:hanging="144"/>
      </w:pPr>
      <w:rPr>
        <w:rFonts w:hint="default"/>
        <w:b w:val="0"/>
        <w:i/>
      </w:rPr>
    </w:lvl>
    <w:lvl w:ilvl="6">
      <w:start w:val="1"/>
      <w:numFmt w:val="decimal"/>
      <w:lvlText w:val="%7."/>
      <w:lvlJc w:val="left"/>
      <w:pPr>
        <w:ind w:left="2016" w:hanging="288"/>
      </w:pPr>
      <w:rPr>
        <w:rFonts w:hint="default"/>
      </w:rPr>
    </w:lvl>
    <w:lvl w:ilvl="7">
      <w:start w:val="1"/>
      <w:numFmt w:val="lowerLetter"/>
      <w:lvlText w:val="%8."/>
      <w:lvlJc w:val="left"/>
      <w:pPr>
        <w:ind w:left="2304" w:hanging="288"/>
      </w:pPr>
      <w:rPr>
        <w:rFonts w:hint="default"/>
      </w:rPr>
    </w:lvl>
    <w:lvl w:ilvl="8">
      <w:start w:val="1"/>
      <w:numFmt w:val="lowerRoman"/>
      <w:lvlText w:val="%9."/>
      <w:lvlJc w:val="right"/>
      <w:pPr>
        <w:tabs>
          <w:tab w:val="num" w:pos="2448"/>
        </w:tabs>
        <w:ind w:left="2592" w:hanging="144"/>
      </w:pPr>
      <w:rPr>
        <w:rFonts w:hint="default"/>
      </w:rPr>
    </w:lvl>
  </w:abstractNum>
  <w:abstractNum w:abstractNumId="23" w15:restartNumberingAfterBreak="0">
    <w:nsid w:val="2D416409"/>
    <w:multiLevelType w:val="multilevel"/>
    <w:tmpl w:val="1D3A7F34"/>
    <w:lvl w:ilvl="0">
      <w:start w:val="1"/>
      <w:numFmt w:val="upperRoman"/>
      <w:pStyle w:val="List"/>
      <w:lvlText w:val="%1."/>
      <w:lvlJc w:val="left"/>
      <w:pPr>
        <w:ind w:left="720" w:hanging="720"/>
      </w:pPr>
      <w:rPr>
        <w:rFonts w:hint="default"/>
        <w:b/>
        <w:i w:val="0"/>
      </w:rPr>
    </w:lvl>
    <w:lvl w:ilvl="1">
      <w:start w:val="1"/>
      <w:numFmt w:val="upperLetter"/>
      <w:pStyle w:val="List2"/>
      <w:lvlText w:val="%2."/>
      <w:lvlJc w:val="left"/>
      <w:pPr>
        <w:tabs>
          <w:tab w:val="num" w:pos="720"/>
        </w:tabs>
        <w:ind w:left="1080" w:hanging="360"/>
      </w:pPr>
      <w:rPr>
        <w:rFonts w:hint="default"/>
      </w:rPr>
    </w:lvl>
    <w:lvl w:ilvl="2">
      <w:start w:val="1"/>
      <w:numFmt w:val="decimal"/>
      <w:pStyle w:val="List3"/>
      <w:lvlText w:val="%3."/>
      <w:lvlJc w:val="left"/>
      <w:pPr>
        <w:tabs>
          <w:tab w:val="num" w:pos="1080"/>
        </w:tabs>
        <w:ind w:left="1440" w:hanging="360"/>
      </w:pPr>
      <w:rPr>
        <w:rFonts w:hint="default"/>
      </w:rPr>
    </w:lvl>
    <w:lvl w:ilvl="3">
      <w:start w:val="1"/>
      <w:numFmt w:val="lowerLetter"/>
      <w:pStyle w:val="List4"/>
      <w:lvlText w:val="%4."/>
      <w:lvlJc w:val="left"/>
      <w:pPr>
        <w:tabs>
          <w:tab w:val="num" w:pos="1440"/>
        </w:tabs>
        <w:ind w:left="1800" w:hanging="360"/>
      </w:pPr>
      <w:rPr>
        <w:rFonts w:hint="default"/>
      </w:rPr>
    </w:lvl>
    <w:lvl w:ilvl="4">
      <w:start w:val="1"/>
      <w:numFmt w:val="lowerRoman"/>
      <w:pStyle w:val="List5"/>
      <w:lvlText w:val="%5."/>
      <w:lvlJc w:val="left"/>
      <w:pPr>
        <w:tabs>
          <w:tab w:val="num" w:pos="1800"/>
        </w:tabs>
        <w:ind w:left="2376" w:hanging="576"/>
      </w:pPr>
      <w:rPr>
        <w:rFonts w:hint="default"/>
      </w:rPr>
    </w:lvl>
    <w:lvl w:ilvl="5">
      <w:start w:val="1"/>
      <w:numFmt w:val="lowerRoman"/>
      <w:lvlText w:val="(%6)"/>
      <w:lvlJc w:val="left"/>
      <w:pPr>
        <w:ind w:left="1800" w:hanging="36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880" w:hanging="360"/>
      </w:pPr>
      <w:rPr>
        <w:rFonts w:hint="default"/>
      </w:rPr>
    </w:lvl>
  </w:abstractNum>
  <w:abstractNum w:abstractNumId="24" w15:restartNumberingAfterBreak="0">
    <w:nsid w:val="33AC03F4"/>
    <w:multiLevelType w:val="hybridMultilevel"/>
    <w:tmpl w:val="D5AE2E1A"/>
    <w:lvl w:ilvl="0" w:tplc="1A6C1D0E">
      <w:start w:val="1"/>
      <w:numFmt w:val="bullet"/>
      <w:pStyle w:val="SidebarListBullet"/>
      <w:lvlText w:val=""/>
      <w:lvlJc w:val="left"/>
      <w:pPr>
        <w:tabs>
          <w:tab w:val="num" w:pos="288"/>
        </w:tabs>
        <w:ind w:left="288" w:hanging="288"/>
      </w:pPr>
      <w:rPr>
        <w:rFonts w:ascii="Symbol" w:hAnsi="Symbol" w:hint="default"/>
        <w:color w:val="5B6771" w:themeColor="accent3"/>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4BB35BE"/>
    <w:multiLevelType w:val="multilevel"/>
    <w:tmpl w:val="8D14CC44"/>
    <w:numStyleLink w:val="ListOrdered-Table11"/>
  </w:abstractNum>
  <w:abstractNum w:abstractNumId="26" w15:restartNumberingAfterBreak="0">
    <w:nsid w:val="37655570"/>
    <w:multiLevelType w:val="hybridMultilevel"/>
    <w:tmpl w:val="0BBED9BE"/>
    <w:lvl w:ilvl="0" w:tplc="F4F02EBE">
      <w:start w:val="1"/>
      <w:numFmt w:val="bullet"/>
      <w:pStyle w:val="TableListBullet2"/>
      <w:lvlText w:val="–"/>
      <w:lvlJc w:val="left"/>
      <w:pPr>
        <w:tabs>
          <w:tab w:val="num" w:pos="432"/>
        </w:tabs>
        <w:ind w:left="432" w:hanging="216"/>
      </w:pPr>
    </w:lvl>
    <w:lvl w:ilvl="1" w:tplc="9ABE1BD8" w:tentative="1">
      <w:start w:val="1"/>
      <w:numFmt w:val="bullet"/>
      <w:lvlText w:val="o"/>
      <w:lvlJc w:val="left"/>
      <w:pPr>
        <w:ind w:left="1440" w:hanging="360"/>
      </w:pPr>
      <w:rPr>
        <w:rFonts w:ascii="Courier New" w:hAnsi="Courier New" w:hint="default"/>
      </w:rPr>
    </w:lvl>
    <w:lvl w:ilvl="2" w:tplc="B1F8FCF4" w:tentative="1">
      <w:start w:val="1"/>
      <w:numFmt w:val="bullet"/>
      <w:lvlText w:val=""/>
      <w:lvlJc w:val="left"/>
      <w:pPr>
        <w:ind w:left="2160" w:hanging="360"/>
      </w:pPr>
      <w:rPr>
        <w:rFonts w:ascii="Wingdings" w:hAnsi="Wingdings" w:hint="default"/>
      </w:rPr>
    </w:lvl>
    <w:lvl w:ilvl="3" w:tplc="D596536E" w:tentative="1">
      <w:start w:val="1"/>
      <w:numFmt w:val="bullet"/>
      <w:lvlText w:val=""/>
      <w:lvlJc w:val="left"/>
      <w:pPr>
        <w:ind w:left="2880" w:hanging="360"/>
      </w:pPr>
      <w:rPr>
        <w:rFonts w:ascii="Symbol" w:hAnsi="Symbol" w:hint="default"/>
      </w:rPr>
    </w:lvl>
    <w:lvl w:ilvl="4" w:tplc="323E026C" w:tentative="1">
      <w:start w:val="1"/>
      <w:numFmt w:val="bullet"/>
      <w:lvlText w:val="o"/>
      <w:lvlJc w:val="left"/>
      <w:pPr>
        <w:ind w:left="3600" w:hanging="360"/>
      </w:pPr>
      <w:rPr>
        <w:rFonts w:ascii="Courier New" w:hAnsi="Courier New" w:hint="default"/>
      </w:rPr>
    </w:lvl>
    <w:lvl w:ilvl="5" w:tplc="3E1E7924" w:tentative="1">
      <w:start w:val="1"/>
      <w:numFmt w:val="bullet"/>
      <w:lvlText w:val=""/>
      <w:lvlJc w:val="left"/>
      <w:pPr>
        <w:ind w:left="4320" w:hanging="360"/>
      </w:pPr>
      <w:rPr>
        <w:rFonts w:ascii="Wingdings" w:hAnsi="Wingdings" w:hint="default"/>
      </w:rPr>
    </w:lvl>
    <w:lvl w:ilvl="6" w:tplc="B9DCD844" w:tentative="1">
      <w:start w:val="1"/>
      <w:numFmt w:val="bullet"/>
      <w:lvlText w:val=""/>
      <w:lvlJc w:val="left"/>
      <w:pPr>
        <w:ind w:left="5040" w:hanging="360"/>
      </w:pPr>
      <w:rPr>
        <w:rFonts w:ascii="Symbol" w:hAnsi="Symbol" w:hint="default"/>
      </w:rPr>
    </w:lvl>
    <w:lvl w:ilvl="7" w:tplc="59C8A706" w:tentative="1">
      <w:start w:val="1"/>
      <w:numFmt w:val="bullet"/>
      <w:lvlText w:val="o"/>
      <w:lvlJc w:val="left"/>
      <w:pPr>
        <w:ind w:left="5760" w:hanging="360"/>
      </w:pPr>
      <w:rPr>
        <w:rFonts w:ascii="Courier New" w:hAnsi="Courier New" w:hint="default"/>
      </w:rPr>
    </w:lvl>
    <w:lvl w:ilvl="8" w:tplc="FB407354" w:tentative="1">
      <w:start w:val="1"/>
      <w:numFmt w:val="bullet"/>
      <w:lvlText w:val=""/>
      <w:lvlJc w:val="left"/>
      <w:pPr>
        <w:ind w:left="6480" w:hanging="360"/>
      </w:pPr>
      <w:rPr>
        <w:rFonts w:ascii="Wingdings" w:hAnsi="Wingdings" w:hint="default"/>
      </w:rPr>
    </w:lvl>
  </w:abstractNum>
  <w:abstractNum w:abstractNumId="27" w15:restartNumberingAfterBreak="0">
    <w:nsid w:val="3D163789"/>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155B56"/>
    <w:multiLevelType w:val="hybridMultilevel"/>
    <w:tmpl w:val="16368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9D1990"/>
    <w:multiLevelType w:val="hybridMultilevel"/>
    <w:tmpl w:val="11C4FD16"/>
    <w:lvl w:ilvl="0" w:tplc="C214EA3A">
      <w:start w:val="1"/>
      <w:numFmt w:val="lowerLetter"/>
      <w:pStyle w:val="ListAlpha2"/>
      <w:lvlText w:val="%1."/>
      <w:lvlJc w:val="left"/>
      <w:pPr>
        <w:tabs>
          <w:tab w:val="num" w:pos="720"/>
        </w:tabs>
        <w:ind w:left="720" w:hanging="360"/>
      </w:pPr>
    </w:lvl>
    <w:lvl w:ilvl="1" w:tplc="E536F2EE" w:tentative="1">
      <w:start w:val="1"/>
      <w:numFmt w:val="lowerLetter"/>
      <w:lvlText w:val="%2."/>
      <w:lvlJc w:val="left"/>
      <w:pPr>
        <w:ind w:left="1800" w:hanging="360"/>
      </w:pPr>
    </w:lvl>
    <w:lvl w:ilvl="2" w:tplc="46C6B0FC" w:tentative="1">
      <w:start w:val="1"/>
      <w:numFmt w:val="lowerRoman"/>
      <w:lvlText w:val="%3."/>
      <w:lvlJc w:val="right"/>
      <w:pPr>
        <w:ind w:left="2520" w:hanging="180"/>
      </w:pPr>
    </w:lvl>
    <w:lvl w:ilvl="3" w:tplc="4FE0B10A" w:tentative="1">
      <w:start w:val="1"/>
      <w:numFmt w:val="decimal"/>
      <w:lvlText w:val="%4."/>
      <w:lvlJc w:val="left"/>
      <w:pPr>
        <w:ind w:left="3240" w:hanging="360"/>
      </w:pPr>
    </w:lvl>
    <w:lvl w:ilvl="4" w:tplc="6B32C604" w:tentative="1">
      <w:start w:val="1"/>
      <w:numFmt w:val="lowerLetter"/>
      <w:lvlText w:val="%5."/>
      <w:lvlJc w:val="left"/>
      <w:pPr>
        <w:ind w:left="3960" w:hanging="360"/>
      </w:pPr>
    </w:lvl>
    <w:lvl w:ilvl="5" w:tplc="3572A762" w:tentative="1">
      <w:start w:val="1"/>
      <w:numFmt w:val="lowerRoman"/>
      <w:lvlText w:val="%6."/>
      <w:lvlJc w:val="right"/>
      <w:pPr>
        <w:ind w:left="4680" w:hanging="180"/>
      </w:pPr>
    </w:lvl>
    <w:lvl w:ilvl="6" w:tplc="DE2014EA" w:tentative="1">
      <w:start w:val="1"/>
      <w:numFmt w:val="decimal"/>
      <w:lvlText w:val="%7."/>
      <w:lvlJc w:val="left"/>
      <w:pPr>
        <w:ind w:left="5400" w:hanging="360"/>
      </w:pPr>
    </w:lvl>
    <w:lvl w:ilvl="7" w:tplc="AB2C570C" w:tentative="1">
      <w:start w:val="1"/>
      <w:numFmt w:val="lowerLetter"/>
      <w:lvlText w:val="%8."/>
      <w:lvlJc w:val="left"/>
      <w:pPr>
        <w:ind w:left="6120" w:hanging="360"/>
      </w:pPr>
    </w:lvl>
    <w:lvl w:ilvl="8" w:tplc="FCEA6618" w:tentative="1">
      <w:start w:val="1"/>
      <w:numFmt w:val="lowerRoman"/>
      <w:lvlText w:val="%9."/>
      <w:lvlJc w:val="right"/>
      <w:pPr>
        <w:ind w:left="6840" w:hanging="180"/>
      </w:pPr>
    </w:lvl>
  </w:abstractNum>
  <w:abstractNum w:abstractNumId="30" w15:restartNumberingAfterBreak="0">
    <w:nsid w:val="458B3382"/>
    <w:multiLevelType w:val="multilevel"/>
    <w:tmpl w:val="1D409478"/>
    <w:styleLink w:val="ListStyle-BoxBullets"/>
    <w:lvl w:ilvl="0">
      <w:start w:val="1"/>
      <w:numFmt w:val="bullet"/>
      <w:pStyle w:val="BoxBullets"/>
      <w:lvlText w:val="•"/>
      <w:lvlJc w:val="left"/>
      <w:pPr>
        <w:ind w:left="360" w:hanging="360"/>
      </w:pPr>
      <w:rPr>
        <w:rFonts w:ascii="Calibri" w:hAnsi="Calibri" w:hint="default"/>
        <w:color w:val="046B5C" w:themeColor="text2"/>
        <w:sz w:val="22"/>
      </w:rPr>
    </w:lvl>
    <w:lvl w:ilvl="1">
      <w:start w:val="1"/>
      <w:numFmt w:val="bullet"/>
      <w:lvlText w:val="–"/>
      <w:lvlJc w:val="left"/>
      <w:pPr>
        <w:ind w:left="720" w:hanging="360"/>
      </w:pPr>
      <w:rPr>
        <w:rFonts w:ascii="Calibri" w:hAnsi="Calibri" w:hint="default"/>
        <w:color w:val="046B5C" w:themeColor="text2"/>
        <w:sz w:val="22"/>
      </w:rPr>
    </w:lvl>
    <w:lvl w:ilvl="2">
      <w:start w:val="1"/>
      <w:numFmt w:val="bullet"/>
      <w:lvlText w:val="»"/>
      <w:lvlJc w:val="left"/>
      <w:pPr>
        <w:ind w:left="1080" w:hanging="360"/>
      </w:pPr>
      <w:rPr>
        <w:rFonts w:ascii="Calibri" w:hAnsi="Calibri" w:hint="default"/>
        <w:color w:val="046B5C" w:themeColor="text2"/>
        <w:sz w:val="22"/>
      </w:rPr>
    </w:lvl>
    <w:lvl w:ilvl="3">
      <w:start w:val="1"/>
      <w:numFmt w:val="none"/>
      <w:suff w:val="nothing"/>
      <w:lvlText w:val=""/>
      <w:lvlJc w:val="left"/>
      <w:pPr>
        <w:ind w:left="1440" w:hanging="360"/>
      </w:pPr>
      <w:rPr>
        <w:rFonts w:hint="default"/>
      </w:rPr>
    </w:lvl>
    <w:lvl w:ilvl="4">
      <w:start w:val="1"/>
      <w:numFmt w:val="none"/>
      <w:suff w:val="nothing"/>
      <w:lvlText w:val=""/>
      <w:lvlJc w:val="left"/>
      <w:pPr>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49906308"/>
    <w:multiLevelType w:val="multilevel"/>
    <w:tmpl w:val="A83237D6"/>
    <w:styleLink w:val="AppxCaptions"/>
    <w:lvl w:ilvl="0">
      <w:start w:val="1"/>
      <w:numFmt w:val="upperLetter"/>
      <w:suff w:val="space"/>
      <w:lvlText w:val="Appendix %1."/>
      <w:lvlJc w:val="left"/>
      <w:pPr>
        <w:ind w:left="0" w:firstLine="0"/>
      </w:pPr>
      <w:rPr>
        <w:rFonts w:asciiTheme="majorHAnsi" w:hAnsiTheme="majorHAnsi" w:hint="default"/>
        <w:b/>
        <w:i w:val="0"/>
        <w:color w:val="0B2949" w:themeColor="accent1"/>
        <w:sz w:val="44"/>
      </w:rPr>
    </w:lvl>
    <w:lvl w:ilvl="1">
      <w:start w:val="1"/>
      <w:numFmt w:val="decimal"/>
      <w:suff w:val="space"/>
      <w:lvlText w:val="Exhibit %1–%2."/>
      <w:lvlJc w:val="left"/>
      <w:pPr>
        <w:ind w:left="0" w:firstLine="0"/>
      </w:pPr>
      <w:rPr>
        <w:rFonts w:asciiTheme="majorHAnsi" w:hAnsiTheme="majorHAnsi" w:hint="default"/>
        <w:b/>
        <w:i w:val="0"/>
        <w:sz w:val="24"/>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2" w15:restartNumberingAfterBreak="0">
    <w:nsid w:val="4CB46582"/>
    <w:multiLevelType w:val="multilevel"/>
    <w:tmpl w:val="07C2E57A"/>
    <w:lvl w:ilvl="0">
      <w:start w:val="1"/>
      <w:numFmt w:val="upperLetter"/>
      <w:pStyle w:val="ListAlpha"/>
      <w:lvlText w:val="%1."/>
      <w:lvlJc w:val="left"/>
      <w:pPr>
        <w:ind w:left="360" w:hanging="360"/>
      </w:pPr>
    </w:lvl>
    <w:lvl w:ilvl="1">
      <w:start w:val="1"/>
      <w:numFmt w:val="upp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33" w15:restartNumberingAfterBreak="0">
    <w:nsid w:val="50B735F9"/>
    <w:multiLevelType w:val="multilevel"/>
    <w:tmpl w:val="291435FA"/>
    <w:styleLink w:val="ListOrdered-Body"/>
    <w:lvl w:ilvl="0">
      <w:start w:val="1"/>
      <w:numFmt w:val="decimal"/>
      <w:pStyle w:val="NumberedList"/>
      <w:lvlText w:val="%1."/>
      <w:lvlJc w:val="left"/>
      <w:pPr>
        <w:ind w:left="360" w:hanging="360"/>
      </w:pPr>
      <w:rPr>
        <w:rFonts w:asciiTheme="minorHAnsi" w:hAnsiTheme="minorHAnsi" w:hint="default"/>
      </w:rPr>
    </w:lvl>
    <w:lvl w:ilvl="1">
      <w:start w:val="1"/>
      <w:numFmt w:val="lowerLetter"/>
      <w:lvlText w:val="%2."/>
      <w:lvlJc w:val="left"/>
      <w:pPr>
        <w:ind w:left="720" w:hanging="360"/>
      </w:pPr>
      <w:rPr>
        <w:rFonts w:hint="default"/>
      </w:rPr>
    </w:lvl>
    <w:lvl w:ilvl="2">
      <w:start w:val="1"/>
      <w:numFmt w:val="lowerRoman"/>
      <w:lvlText w:val="%3."/>
      <w:lvlJc w:val="right"/>
      <w:pPr>
        <w:tabs>
          <w:tab w:val="num" w:pos="1296"/>
        </w:tabs>
        <w:ind w:left="1080" w:hanging="14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tabs>
          <w:tab w:val="num" w:pos="2160"/>
        </w:tabs>
        <w:ind w:left="2160" w:hanging="14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tabs>
          <w:tab w:val="num" w:pos="3096"/>
        </w:tabs>
        <w:ind w:left="3240" w:hanging="144"/>
      </w:pPr>
      <w:rPr>
        <w:rFonts w:hint="default"/>
      </w:rPr>
    </w:lvl>
  </w:abstractNum>
  <w:abstractNum w:abstractNumId="34" w15:restartNumberingAfterBreak="0">
    <w:nsid w:val="51A6124B"/>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387DC8"/>
    <w:multiLevelType w:val="multilevel"/>
    <w:tmpl w:val="0CDA77FC"/>
    <w:lvl w:ilvl="0">
      <w:start w:val="1"/>
      <w:numFmt w:val="upperRoman"/>
      <w:lvlText w:val="%1"/>
      <w:lvlJc w:val="left"/>
      <w:pPr>
        <w:tabs>
          <w:tab w:val="num" w:pos="720"/>
        </w:tabs>
        <w:ind w:left="720" w:hanging="360"/>
      </w:pPr>
      <w:rPr>
        <w:rFonts w:hint="default"/>
      </w:rPr>
    </w:lvl>
    <w:lvl w:ilvl="1">
      <w:start w:val="1"/>
      <w:numFmt w:val="upperLetter"/>
      <w:pStyle w:val="Outline2"/>
      <w:lvlText w:val="%2."/>
      <w:lvlJc w:val="left"/>
      <w:pPr>
        <w:tabs>
          <w:tab w:val="num" w:pos="1080"/>
        </w:tabs>
        <w:ind w:left="1080" w:hanging="360"/>
      </w:pPr>
      <w:rPr>
        <w:rFonts w:hint="default"/>
      </w:rPr>
    </w:lvl>
    <w:lvl w:ilvl="2">
      <w:start w:val="1"/>
      <w:numFmt w:val="decimal"/>
      <w:pStyle w:val="Outline3"/>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Roman"/>
      <w:lvlText w:val="%5."/>
      <w:lvlJc w:val="left"/>
      <w:pPr>
        <w:tabs>
          <w:tab w:val="num" w:pos="2160"/>
        </w:tabs>
        <w:ind w:left="216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EE36962"/>
    <w:multiLevelType w:val="hybridMultilevel"/>
    <w:tmpl w:val="980A3E10"/>
    <w:lvl w:ilvl="0" w:tplc="8A1271EE">
      <w:start w:val="1"/>
      <w:numFmt w:val="decimal"/>
      <w:pStyle w:val="ESListNumber"/>
      <w:lvlText w:val="%1."/>
      <w:lvlJc w:val="left"/>
      <w:pPr>
        <w:tabs>
          <w:tab w:val="num" w:pos="360"/>
        </w:tabs>
        <w:ind w:left="360" w:hanging="360"/>
      </w:pPr>
      <w:rPr>
        <w:rFonts w:hint="default"/>
        <w:b/>
        <w:i w:val="0"/>
      </w:rPr>
    </w:lvl>
    <w:lvl w:ilvl="1" w:tplc="E6FE4D78" w:tentative="1">
      <w:start w:val="1"/>
      <w:numFmt w:val="lowerLetter"/>
      <w:lvlText w:val="%2."/>
      <w:lvlJc w:val="left"/>
      <w:pPr>
        <w:ind w:left="1440" w:hanging="360"/>
      </w:pPr>
    </w:lvl>
    <w:lvl w:ilvl="2" w:tplc="6052B4A2" w:tentative="1">
      <w:start w:val="1"/>
      <w:numFmt w:val="lowerRoman"/>
      <w:lvlText w:val="%3."/>
      <w:lvlJc w:val="right"/>
      <w:pPr>
        <w:ind w:left="2160" w:hanging="180"/>
      </w:pPr>
    </w:lvl>
    <w:lvl w:ilvl="3" w:tplc="2BBAC2D4" w:tentative="1">
      <w:start w:val="1"/>
      <w:numFmt w:val="decimal"/>
      <w:lvlText w:val="%4."/>
      <w:lvlJc w:val="left"/>
      <w:pPr>
        <w:ind w:left="2880" w:hanging="360"/>
      </w:pPr>
    </w:lvl>
    <w:lvl w:ilvl="4" w:tplc="C5248704" w:tentative="1">
      <w:start w:val="1"/>
      <w:numFmt w:val="lowerLetter"/>
      <w:lvlText w:val="%5."/>
      <w:lvlJc w:val="left"/>
      <w:pPr>
        <w:ind w:left="3600" w:hanging="360"/>
      </w:pPr>
    </w:lvl>
    <w:lvl w:ilvl="5" w:tplc="3690B6B2" w:tentative="1">
      <w:start w:val="1"/>
      <w:numFmt w:val="lowerRoman"/>
      <w:lvlText w:val="%6."/>
      <w:lvlJc w:val="right"/>
      <w:pPr>
        <w:ind w:left="4320" w:hanging="180"/>
      </w:pPr>
    </w:lvl>
    <w:lvl w:ilvl="6" w:tplc="780E26F6" w:tentative="1">
      <w:start w:val="1"/>
      <w:numFmt w:val="decimal"/>
      <w:lvlText w:val="%7."/>
      <w:lvlJc w:val="left"/>
      <w:pPr>
        <w:ind w:left="5040" w:hanging="360"/>
      </w:pPr>
    </w:lvl>
    <w:lvl w:ilvl="7" w:tplc="046E580C" w:tentative="1">
      <w:start w:val="1"/>
      <w:numFmt w:val="lowerLetter"/>
      <w:lvlText w:val="%8."/>
      <w:lvlJc w:val="left"/>
      <w:pPr>
        <w:ind w:left="5760" w:hanging="360"/>
      </w:pPr>
    </w:lvl>
    <w:lvl w:ilvl="8" w:tplc="40382734" w:tentative="1">
      <w:start w:val="1"/>
      <w:numFmt w:val="lowerRoman"/>
      <w:lvlText w:val="%9."/>
      <w:lvlJc w:val="right"/>
      <w:pPr>
        <w:ind w:left="6480" w:hanging="180"/>
      </w:pPr>
    </w:lvl>
  </w:abstractNum>
  <w:abstractNum w:abstractNumId="37" w15:restartNumberingAfterBreak="0">
    <w:nsid w:val="6A0756DB"/>
    <w:multiLevelType w:val="multilevel"/>
    <w:tmpl w:val="5B403676"/>
    <w:styleLink w:val="ListBullets-Table10"/>
    <w:lvl w:ilvl="0">
      <w:start w:val="1"/>
      <w:numFmt w:val="bullet"/>
      <w:pStyle w:val="Table10Bullet1"/>
      <w:lvlText w:val="•"/>
      <w:lvlJc w:val="left"/>
      <w:pPr>
        <w:ind w:left="288" w:hanging="288"/>
      </w:pPr>
      <w:rPr>
        <w:rFonts w:ascii="Calibri" w:hAnsi="Calibri" w:hint="default"/>
        <w:color w:val="0B2949" w:themeColor="accent1"/>
        <w:sz w:val="20"/>
      </w:rPr>
    </w:lvl>
    <w:lvl w:ilvl="1">
      <w:start w:val="1"/>
      <w:numFmt w:val="bullet"/>
      <w:pStyle w:val="Table10Bullet2"/>
      <w:lvlText w:val="–"/>
      <w:lvlJc w:val="left"/>
      <w:pPr>
        <w:ind w:left="576" w:hanging="288"/>
      </w:pPr>
      <w:rPr>
        <w:rFonts w:ascii="Calibri" w:hAnsi="Calibri" w:hint="default"/>
        <w:color w:val="0B2949" w:themeColor="accent1"/>
      </w:rPr>
    </w:lvl>
    <w:lvl w:ilvl="2">
      <w:start w:val="1"/>
      <w:numFmt w:val="bullet"/>
      <w:pStyle w:val="Table10Bullet3"/>
      <w:lvlText w:val="»"/>
      <w:lvlJc w:val="left"/>
      <w:pPr>
        <w:ind w:left="864" w:hanging="288"/>
      </w:pPr>
      <w:rPr>
        <w:rFonts w:ascii="Arial" w:hAnsi="Arial" w:hint="default"/>
        <w:color w:val="0B2949" w:themeColor="accent1"/>
      </w:rPr>
    </w:lvl>
    <w:lvl w:ilvl="3">
      <w:start w:val="1"/>
      <w:numFmt w:val="bullet"/>
      <w:lvlText w:val="◦"/>
      <w:lvlJc w:val="left"/>
      <w:pPr>
        <w:ind w:left="1152" w:hanging="288"/>
      </w:pPr>
      <w:rPr>
        <w:rFonts w:ascii="Calibri" w:hAnsi="Calibri" w:hint="default"/>
        <w:color w:val="0B2949" w:themeColor="accent1"/>
      </w:rPr>
    </w:lvl>
    <w:lvl w:ilvl="4">
      <w:start w:val="1"/>
      <w:numFmt w:val="bullet"/>
      <w:lvlText w:val="›"/>
      <w:lvlJc w:val="left"/>
      <w:pPr>
        <w:ind w:left="1440" w:hanging="288"/>
      </w:pPr>
      <w:rPr>
        <w:rFonts w:ascii="Calibri" w:hAnsi="Calibri" w:hint="default"/>
        <w:color w:val="0B2949" w:themeColor="accent1"/>
      </w:rPr>
    </w:lvl>
    <w:lvl w:ilvl="5">
      <w:start w:val="1"/>
      <w:numFmt w:val="bullet"/>
      <w:lvlText w:val="‹"/>
      <w:lvlJc w:val="left"/>
      <w:pPr>
        <w:ind w:left="1728" w:hanging="288"/>
      </w:pPr>
      <w:rPr>
        <w:rFonts w:ascii="Calibri" w:hAnsi="Calibri" w:hint="default"/>
        <w:color w:val="0B2949" w:themeColor="accent1"/>
      </w:rPr>
    </w:lvl>
    <w:lvl w:ilvl="6">
      <w:start w:val="1"/>
      <w:numFmt w:val="bullet"/>
      <w:lvlText w:val="«"/>
      <w:lvlJc w:val="left"/>
      <w:pPr>
        <w:ind w:left="2016" w:hanging="288"/>
      </w:pPr>
      <w:rPr>
        <w:rFonts w:ascii="Calibri" w:hAnsi="Calibri" w:hint="default"/>
        <w:color w:val="0B2949" w:themeColor="accent1"/>
      </w:rPr>
    </w:lvl>
    <w:lvl w:ilvl="7">
      <w:start w:val="1"/>
      <w:numFmt w:val="bullet"/>
      <w:lvlText w:val="-"/>
      <w:lvlJc w:val="left"/>
      <w:pPr>
        <w:ind w:left="2304" w:hanging="288"/>
      </w:pPr>
      <w:rPr>
        <w:rFonts w:ascii="Calibri" w:hAnsi="Calibri" w:hint="default"/>
        <w:color w:val="0B2949" w:themeColor="accent1"/>
      </w:rPr>
    </w:lvl>
    <w:lvl w:ilvl="8">
      <w:start w:val="1"/>
      <w:numFmt w:val="bullet"/>
      <w:lvlText w:val=""/>
      <w:lvlJc w:val="left"/>
      <w:pPr>
        <w:ind w:left="2592" w:hanging="288"/>
      </w:pPr>
      <w:rPr>
        <w:rFonts w:ascii="Wingdings" w:hAnsi="Wingdings" w:hint="default"/>
        <w:color w:val="0B2949" w:themeColor="accent1"/>
      </w:rPr>
    </w:lvl>
  </w:abstractNum>
  <w:abstractNum w:abstractNumId="38" w15:restartNumberingAfterBreak="0">
    <w:nsid w:val="6A1A31F9"/>
    <w:multiLevelType w:val="singleLevel"/>
    <w:tmpl w:val="D45EA71A"/>
    <w:lvl w:ilvl="0">
      <w:start w:val="1"/>
      <w:numFmt w:val="decimal"/>
      <w:pStyle w:val="SidebarListNumber"/>
      <w:lvlText w:val="%1."/>
      <w:lvlJc w:val="left"/>
      <w:pPr>
        <w:tabs>
          <w:tab w:val="num" w:pos="576"/>
        </w:tabs>
        <w:ind w:left="576" w:hanging="288"/>
      </w:pPr>
      <w:rPr>
        <w:rFonts w:hint="default"/>
        <w:color w:val="5B6771" w:themeColor="accent3"/>
      </w:rPr>
    </w:lvl>
  </w:abstractNum>
  <w:abstractNum w:abstractNumId="39" w15:restartNumberingAfterBreak="0">
    <w:nsid w:val="6FF43418"/>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0040C6F"/>
    <w:multiLevelType w:val="multilevel"/>
    <w:tmpl w:val="1D409478"/>
    <w:numStyleLink w:val="ListStyle-BoxBullets"/>
  </w:abstractNum>
  <w:num w:numId="1" w16cid:durableId="2103524893">
    <w:abstractNumId w:val="12"/>
  </w:num>
  <w:num w:numId="2" w16cid:durableId="458693862">
    <w:abstractNumId w:val="39"/>
  </w:num>
  <w:num w:numId="3" w16cid:durableId="904294637">
    <w:abstractNumId w:val="27"/>
  </w:num>
  <w:num w:numId="4" w16cid:durableId="2063164409">
    <w:abstractNumId w:val="34"/>
  </w:num>
  <w:num w:numId="5" w16cid:durableId="1963805252">
    <w:abstractNumId w:val="23"/>
  </w:num>
  <w:num w:numId="6" w16cid:durableId="369456832">
    <w:abstractNumId w:val="5"/>
  </w:num>
  <w:num w:numId="7" w16cid:durableId="512572406">
    <w:abstractNumId w:val="4"/>
  </w:num>
  <w:num w:numId="8" w16cid:durableId="2100054984">
    <w:abstractNumId w:val="3"/>
  </w:num>
  <w:num w:numId="9" w16cid:durableId="1400254172">
    <w:abstractNumId w:val="2"/>
  </w:num>
  <w:num w:numId="10" w16cid:durableId="204221278">
    <w:abstractNumId w:val="1"/>
  </w:num>
  <w:num w:numId="11" w16cid:durableId="1063210555">
    <w:abstractNumId w:val="0"/>
  </w:num>
  <w:num w:numId="12" w16cid:durableId="401100817">
    <w:abstractNumId w:val="21"/>
  </w:num>
  <w:num w:numId="13" w16cid:durableId="154497235">
    <w:abstractNumId w:val="36"/>
  </w:num>
  <w:num w:numId="14" w16cid:durableId="552617016">
    <w:abstractNumId w:val="19"/>
  </w:num>
  <w:num w:numId="15" w16cid:durableId="1631743707">
    <w:abstractNumId w:val="18"/>
  </w:num>
  <w:num w:numId="16" w16cid:durableId="1965039050">
    <w:abstractNumId w:val="32"/>
  </w:num>
  <w:num w:numId="17" w16cid:durableId="742291920">
    <w:abstractNumId w:val="35"/>
  </w:num>
  <w:num w:numId="18" w16cid:durableId="363486531">
    <w:abstractNumId w:val="26"/>
  </w:num>
  <w:num w:numId="19" w16cid:durableId="2056729964">
    <w:abstractNumId w:val="17"/>
  </w:num>
  <w:num w:numId="20" w16cid:durableId="1330525296">
    <w:abstractNumId w:val="24"/>
  </w:num>
  <w:num w:numId="21" w16cid:durableId="1391540549">
    <w:abstractNumId w:val="20"/>
  </w:num>
  <w:num w:numId="22" w16cid:durableId="523326616">
    <w:abstractNumId w:val="37"/>
  </w:num>
  <w:num w:numId="23" w16cid:durableId="1264070031">
    <w:abstractNumId w:val="16"/>
  </w:num>
  <w:num w:numId="24" w16cid:durableId="748884447">
    <w:abstractNumId w:val="33"/>
  </w:num>
  <w:num w:numId="25" w16cid:durableId="1950579390">
    <w:abstractNumId w:val="11"/>
  </w:num>
  <w:num w:numId="26" w16cid:durableId="2088376143">
    <w:abstractNumId w:val="30"/>
  </w:num>
  <w:num w:numId="27" w16cid:durableId="102115167">
    <w:abstractNumId w:val="10"/>
  </w:num>
  <w:num w:numId="28" w16cid:durableId="1064255975">
    <w:abstractNumId w:val="25"/>
  </w:num>
  <w:num w:numId="29" w16cid:durableId="1356494312">
    <w:abstractNumId w:val="40"/>
  </w:num>
  <w:num w:numId="30" w16cid:durableId="135074627">
    <w:abstractNumId w:val="31"/>
  </w:num>
  <w:num w:numId="31" w16cid:durableId="934752093">
    <w:abstractNumId w:val="14"/>
  </w:num>
  <w:num w:numId="32" w16cid:durableId="1462308179">
    <w:abstractNumId w:val="22"/>
  </w:num>
  <w:num w:numId="33" w16cid:durableId="1756975567">
    <w:abstractNumId w:val="28"/>
  </w:num>
  <w:num w:numId="34" w16cid:durableId="845023676">
    <w:abstractNumId w:val="7"/>
  </w:num>
  <w:num w:numId="35" w16cid:durableId="1815681797">
    <w:abstractNumId w:val="6"/>
  </w:num>
  <w:num w:numId="36" w16cid:durableId="1213275356">
    <w:abstractNumId w:val="9"/>
    <w:lvlOverride w:ilvl="0">
      <w:startOverride w:val="1"/>
    </w:lvlOverride>
  </w:num>
  <w:num w:numId="37" w16cid:durableId="430856184">
    <w:abstractNumId w:val="13"/>
    <w:lvlOverride w:ilvl="0">
      <w:startOverride w:val="1"/>
    </w:lvlOverride>
  </w:num>
  <w:num w:numId="38" w16cid:durableId="1472044">
    <w:abstractNumId w:val="8"/>
    <w:lvlOverride w:ilvl="0">
      <w:startOverride w:val="1"/>
    </w:lvlOverride>
  </w:num>
  <w:num w:numId="39" w16cid:durableId="58213335">
    <w:abstractNumId w:val="29"/>
    <w:lvlOverride w:ilvl="0">
      <w:startOverride w:val="1"/>
    </w:lvlOverride>
  </w:num>
  <w:num w:numId="40" w16cid:durableId="1029448980">
    <w:abstractNumId w:val="15"/>
    <w:lvlOverride w:ilvl="0">
      <w:startOverride w:val="1"/>
    </w:lvlOverride>
  </w:num>
  <w:num w:numId="41" w16cid:durableId="1979332290">
    <w:abstractNumId w:val="38"/>
    <w:lvlOverride w:ilvl="0">
      <w:lvl w:ilvl="0">
        <w:start w:val="1"/>
        <w:numFmt w:val="decimal"/>
        <w:pStyle w:val="SidebarListNumber"/>
        <w:lvlText w:val="%1."/>
        <w:lvlJc w:val="left"/>
        <w:pPr>
          <w:tabs>
            <w:tab w:val="num" w:pos="288"/>
          </w:tabs>
          <w:ind w:left="288" w:hanging="288"/>
        </w:pPr>
        <w:rPr>
          <w:rFonts w:hint="default"/>
          <w:color w:val="5B6771" w:themeColor="accent3"/>
        </w:rPr>
      </w:lvl>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1"/>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spoo" w:val="False"/>
    <w:docVar w:name="notmodified" w:val="True"/>
    <w:docVar w:name="repetitions" w:val="26"/>
    <w:docVar w:name="stylepaneshow" w:val="True"/>
    <w:docVar w:name="ui" w:val="0"/>
  </w:docVars>
  <w:rsids>
    <w:rsidRoot w:val="006C686D"/>
    <w:rsid w:val="000002F9"/>
    <w:rsid w:val="00000687"/>
    <w:rsid w:val="00001300"/>
    <w:rsid w:val="00001708"/>
    <w:rsid w:val="00003A49"/>
    <w:rsid w:val="00004128"/>
    <w:rsid w:val="00004440"/>
    <w:rsid w:val="00004AAA"/>
    <w:rsid w:val="00004DCC"/>
    <w:rsid w:val="00004F9C"/>
    <w:rsid w:val="0000576C"/>
    <w:rsid w:val="000058AC"/>
    <w:rsid w:val="00005CF0"/>
    <w:rsid w:val="00006014"/>
    <w:rsid w:val="0000660F"/>
    <w:rsid w:val="00006C9E"/>
    <w:rsid w:val="00007690"/>
    <w:rsid w:val="000077E6"/>
    <w:rsid w:val="00007FE1"/>
    <w:rsid w:val="00011527"/>
    <w:rsid w:val="000118F9"/>
    <w:rsid w:val="00011A95"/>
    <w:rsid w:val="00011C51"/>
    <w:rsid w:val="00011C81"/>
    <w:rsid w:val="00011CD3"/>
    <w:rsid w:val="00012384"/>
    <w:rsid w:val="00012461"/>
    <w:rsid w:val="00012F34"/>
    <w:rsid w:val="0001315B"/>
    <w:rsid w:val="000138C0"/>
    <w:rsid w:val="00013CB9"/>
    <w:rsid w:val="000141EB"/>
    <w:rsid w:val="00014824"/>
    <w:rsid w:val="000150BC"/>
    <w:rsid w:val="00015394"/>
    <w:rsid w:val="00015782"/>
    <w:rsid w:val="00015C89"/>
    <w:rsid w:val="00016C44"/>
    <w:rsid w:val="000176B9"/>
    <w:rsid w:val="0002006A"/>
    <w:rsid w:val="000200AA"/>
    <w:rsid w:val="0002062C"/>
    <w:rsid w:val="000207D9"/>
    <w:rsid w:val="00020AA8"/>
    <w:rsid w:val="00020C5D"/>
    <w:rsid w:val="00020D7E"/>
    <w:rsid w:val="00021932"/>
    <w:rsid w:val="00021F7F"/>
    <w:rsid w:val="00022C69"/>
    <w:rsid w:val="000238DD"/>
    <w:rsid w:val="00023C62"/>
    <w:rsid w:val="00023F49"/>
    <w:rsid w:val="0002433C"/>
    <w:rsid w:val="000253BA"/>
    <w:rsid w:val="00025706"/>
    <w:rsid w:val="00025A57"/>
    <w:rsid w:val="000261DB"/>
    <w:rsid w:val="00027128"/>
    <w:rsid w:val="00027203"/>
    <w:rsid w:val="00030403"/>
    <w:rsid w:val="0003072A"/>
    <w:rsid w:val="00030873"/>
    <w:rsid w:val="00030FC8"/>
    <w:rsid w:val="00031289"/>
    <w:rsid w:val="00032836"/>
    <w:rsid w:val="000336D2"/>
    <w:rsid w:val="00033A0E"/>
    <w:rsid w:val="00033B02"/>
    <w:rsid w:val="00033BA6"/>
    <w:rsid w:val="000343FD"/>
    <w:rsid w:val="00034501"/>
    <w:rsid w:val="00034595"/>
    <w:rsid w:val="00034654"/>
    <w:rsid w:val="000349F8"/>
    <w:rsid w:val="00034B26"/>
    <w:rsid w:val="00035618"/>
    <w:rsid w:val="000359FA"/>
    <w:rsid w:val="00035A72"/>
    <w:rsid w:val="0003601C"/>
    <w:rsid w:val="00036CF4"/>
    <w:rsid w:val="000372E4"/>
    <w:rsid w:val="00037779"/>
    <w:rsid w:val="00037EEA"/>
    <w:rsid w:val="00040005"/>
    <w:rsid w:val="0004019D"/>
    <w:rsid w:val="0004021E"/>
    <w:rsid w:val="00041846"/>
    <w:rsid w:val="00041BB4"/>
    <w:rsid w:val="00041CBC"/>
    <w:rsid w:val="000423EF"/>
    <w:rsid w:val="000428D3"/>
    <w:rsid w:val="00042906"/>
    <w:rsid w:val="00042E05"/>
    <w:rsid w:val="000435F9"/>
    <w:rsid w:val="00043A6E"/>
    <w:rsid w:val="00044059"/>
    <w:rsid w:val="00044328"/>
    <w:rsid w:val="0004432D"/>
    <w:rsid w:val="00044820"/>
    <w:rsid w:val="0004484A"/>
    <w:rsid w:val="00044BF0"/>
    <w:rsid w:val="0004548D"/>
    <w:rsid w:val="00045DC6"/>
    <w:rsid w:val="00045FEE"/>
    <w:rsid w:val="00046646"/>
    <w:rsid w:val="0004678E"/>
    <w:rsid w:val="000472D2"/>
    <w:rsid w:val="000477EB"/>
    <w:rsid w:val="000478EC"/>
    <w:rsid w:val="0005052A"/>
    <w:rsid w:val="0005071E"/>
    <w:rsid w:val="00051FCC"/>
    <w:rsid w:val="00052314"/>
    <w:rsid w:val="000529B1"/>
    <w:rsid w:val="00053204"/>
    <w:rsid w:val="000538C7"/>
    <w:rsid w:val="00053F99"/>
    <w:rsid w:val="00055496"/>
    <w:rsid w:val="000558D0"/>
    <w:rsid w:val="00055ACA"/>
    <w:rsid w:val="00056409"/>
    <w:rsid w:val="00056719"/>
    <w:rsid w:val="00056A44"/>
    <w:rsid w:val="00056BBD"/>
    <w:rsid w:val="000575E0"/>
    <w:rsid w:val="000579C7"/>
    <w:rsid w:val="000600BF"/>
    <w:rsid w:val="000600CC"/>
    <w:rsid w:val="000600F5"/>
    <w:rsid w:val="00060D38"/>
    <w:rsid w:val="000613D4"/>
    <w:rsid w:val="00061467"/>
    <w:rsid w:val="00061493"/>
    <w:rsid w:val="00064423"/>
    <w:rsid w:val="000648A5"/>
    <w:rsid w:val="00064CFB"/>
    <w:rsid w:val="00064D01"/>
    <w:rsid w:val="000658FB"/>
    <w:rsid w:val="00065DE1"/>
    <w:rsid w:val="00065E33"/>
    <w:rsid w:val="0006606A"/>
    <w:rsid w:val="0006638E"/>
    <w:rsid w:val="0006674A"/>
    <w:rsid w:val="00066DF2"/>
    <w:rsid w:val="00066EC1"/>
    <w:rsid w:val="000674D8"/>
    <w:rsid w:val="0006751B"/>
    <w:rsid w:val="0006758E"/>
    <w:rsid w:val="000675F0"/>
    <w:rsid w:val="00067CE2"/>
    <w:rsid w:val="00070400"/>
    <w:rsid w:val="00070751"/>
    <w:rsid w:val="00070919"/>
    <w:rsid w:val="00070A38"/>
    <w:rsid w:val="00070C9E"/>
    <w:rsid w:val="00070D5A"/>
    <w:rsid w:val="0007163E"/>
    <w:rsid w:val="000719B9"/>
    <w:rsid w:val="000722B7"/>
    <w:rsid w:val="000727F0"/>
    <w:rsid w:val="00072C9B"/>
    <w:rsid w:val="00073386"/>
    <w:rsid w:val="000743E2"/>
    <w:rsid w:val="00074587"/>
    <w:rsid w:val="0007481F"/>
    <w:rsid w:val="00075877"/>
    <w:rsid w:val="000760D5"/>
    <w:rsid w:val="00076138"/>
    <w:rsid w:val="000765FA"/>
    <w:rsid w:val="00076F23"/>
    <w:rsid w:val="00077169"/>
    <w:rsid w:val="000771F0"/>
    <w:rsid w:val="00077226"/>
    <w:rsid w:val="000775D6"/>
    <w:rsid w:val="00077F37"/>
    <w:rsid w:val="00080B1C"/>
    <w:rsid w:val="00081544"/>
    <w:rsid w:val="00081809"/>
    <w:rsid w:val="00081C49"/>
    <w:rsid w:val="00081F77"/>
    <w:rsid w:val="00082754"/>
    <w:rsid w:val="000827D8"/>
    <w:rsid w:val="00082872"/>
    <w:rsid w:val="00082CBD"/>
    <w:rsid w:val="0008402D"/>
    <w:rsid w:val="00084082"/>
    <w:rsid w:val="000840D8"/>
    <w:rsid w:val="00084318"/>
    <w:rsid w:val="00084E2C"/>
    <w:rsid w:val="00084FEF"/>
    <w:rsid w:val="00085342"/>
    <w:rsid w:val="0008585B"/>
    <w:rsid w:val="0008613A"/>
    <w:rsid w:val="0008689E"/>
    <w:rsid w:val="00086D43"/>
    <w:rsid w:val="00086E3E"/>
    <w:rsid w:val="0008713E"/>
    <w:rsid w:val="000874DC"/>
    <w:rsid w:val="00087726"/>
    <w:rsid w:val="000879C6"/>
    <w:rsid w:val="0009030E"/>
    <w:rsid w:val="00090334"/>
    <w:rsid w:val="00090FC2"/>
    <w:rsid w:val="000910A5"/>
    <w:rsid w:val="0009138C"/>
    <w:rsid w:val="000915A1"/>
    <w:rsid w:val="00091C1C"/>
    <w:rsid w:val="00091C8A"/>
    <w:rsid w:val="00091F8F"/>
    <w:rsid w:val="000920D1"/>
    <w:rsid w:val="000925DC"/>
    <w:rsid w:val="00092A45"/>
    <w:rsid w:val="00092AB2"/>
    <w:rsid w:val="00092FE8"/>
    <w:rsid w:val="000933D6"/>
    <w:rsid w:val="000935C1"/>
    <w:rsid w:val="00093614"/>
    <w:rsid w:val="0009364D"/>
    <w:rsid w:val="000943F6"/>
    <w:rsid w:val="00094C49"/>
    <w:rsid w:val="00094CE8"/>
    <w:rsid w:val="00095140"/>
    <w:rsid w:val="00095620"/>
    <w:rsid w:val="00095A1E"/>
    <w:rsid w:val="00095BBA"/>
    <w:rsid w:val="0009612D"/>
    <w:rsid w:val="00096326"/>
    <w:rsid w:val="000973B6"/>
    <w:rsid w:val="000975D1"/>
    <w:rsid w:val="00097653"/>
    <w:rsid w:val="00097704"/>
    <w:rsid w:val="00097B1F"/>
    <w:rsid w:val="00097BEE"/>
    <w:rsid w:val="00097CD7"/>
    <w:rsid w:val="000A02F1"/>
    <w:rsid w:val="000A075B"/>
    <w:rsid w:val="000A1AB3"/>
    <w:rsid w:val="000A28D0"/>
    <w:rsid w:val="000A39BA"/>
    <w:rsid w:val="000A3A29"/>
    <w:rsid w:val="000A3B38"/>
    <w:rsid w:val="000A413E"/>
    <w:rsid w:val="000A4398"/>
    <w:rsid w:val="000A47E1"/>
    <w:rsid w:val="000A4A40"/>
    <w:rsid w:val="000A4C22"/>
    <w:rsid w:val="000A4E13"/>
    <w:rsid w:val="000A5FF5"/>
    <w:rsid w:val="000A6656"/>
    <w:rsid w:val="000A6A02"/>
    <w:rsid w:val="000A75D1"/>
    <w:rsid w:val="000A76F0"/>
    <w:rsid w:val="000B0716"/>
    <w:rsid w:val="000B0F54"/>
    <w:rsid w:val="000B1298"/>
    <w:rsid w:val="000B13D2"/>
    <w:rsid w:val="000B1C56"/>
    <w:rsid w:val="000B1DAF"/>
    <w:rsid w:val="000B2065"/>
    <w:rsid w:val="000B2179"/>
    <w:rsid w:val="000B24F4"/>
    <w:rsid w:val="000B29A2"/>
    <w:rsid w:val="000B2A75"/>
    <w:rsid w:val="000B2B4F"/>
    <w:rsid w:val="000B384C"/>
    <w:rsid w:val="000B4B97"/>
    <w:rsid w:val="000B4E8A"/>
    <w:rsid w:val="000B4F88"/>
    <w:rsid w:val="000B5483"/>
    <w:rsid w:val="000B576F"/>
    <w:rsid w:val="000B579B"/>
    <w:rsid w:val="000B57E8"/>
    <w:rsid w:val="000B5F26"/>
    <w:rsid w:val="000B7351"/>
    <w:rsid w:val="000B7521"/>
    <w:rsid w:val="000B7A2E"/>
    <w:rsid w:val="000B7C9C"/>
    <w:rsid w:val="000B7D14"/>
    <w:rsid w:val="000C070B"/>
    <w:rsid w:val="000C0902"/>
    <w:rsid w:val="000C151D"/>
    <w:rsid w:val="000C1988"/>
    <w:rsid w:val="000C1C6E"/>
    <w:rsid w:val="000C2310"/>
    <w:rsid w:val="000C2957"/>
    <w:rsid w:val="000C2D1F"/>
    <w:rsid w:val="000C2DB1"/>
    <w:rsid w:val="000C2DD5"/>
    <w:rsid w:val="000C3204"/>
    <w:rsid w:val="000C3EB8"/>
    <w:rsid w:val="000C3ED6"/>
    <w:rsid w:val="000C424E"/>
    <w:rsid w:val="000C44A6"/>
    <w:rsid w:val="000C454A"/>
    <w:rsid w:val="000C481D"/>
    <w:rsid w:val="000C4AB7"/>
    <w:rsid w:val="000C4DBE"/>
    <w:rsid w:val="000C4FD2"/>
    <w:rsid w:val="000C525D"/>
    <w:rsid w:val="000C5401"/>
    <w:rsid w:val="000C55D5"/>
    <w:rsid w:val="000C614D"/>
    <w:rsid w:val="000C6209"/>
    <w:rsid w:val="000C699A"/>
    <w:rsid w:val="000C6DF9"/>
    <w:rsid w:val="000C6E87"/>
    <w:rsid w:val="000C7AE6"/>
    <w:rsid w:val="000C7C1A"/>
    <w:rsid w:val="000C7C36"/>
    <w:rsid w:val="000D0221"/>
    <w:rsid w:val="000D0672"/>
    <w:rsid w:val="000D06F0"/>
    <w:rsid w:val="000D133A"/>
    <w:rsid w:val="000D1617"/>
    <w:rsid w:val="000D1B57"/>
    <w:rsid w:val="000D1FF5"/>
    <w:rsid w:val="000D2201"/>
    <w:rsid w:val="000D29F0"/>
    <w:rsid w:val="000D2BAA"/>
    <w:rsid w:val="000D2DC1"/>
    <w:rsid w:val="000D324B"/>
    <w:rsid w:val="000D365A"/>
    <w:rsid w:val="000D39A0"/>
    <w:rsid w:val="000D3F61"/>
    <w:rsid w:val="000D4431"/>
    <w:rsid w:val="000D4E34"/>
    <w:rsid w:val="000D4EDA"/>
    <w:rsid w:val="000D5895"/>
    <w:rsid w:val="000D5F0A"/>
    <w:rsid w:val="000D6570"/>
    <w:rsid w:val="000D7265"/>
    <w:rsid w:val="000D76A7"/>
    <w:rsid w:val="000D79D7"/>
    <w:rsid w:val="000D7D15"/>
    <w:rsid w:val="000E05F3"/>
    <w:rsid w:val="000E0819"/>
    <w:rsid w:val="000E0C26"/>
    <w:rsid w:val="000E1243"/>
    <w:rsid w:val="000E2360"/>
    <w:rsid w:val="000E24C8"/>
    <w:rsid w:val="000E2B56"/>
    <w:rsid w:val="000E2FBA"/>
    <w:rsid w:val="000E3A66"/>
    <w:rsid w:val="000E3BC7"/>
    <w:rsid w:val="000E41A9"/>
    <w:rsid w:val="000E4DB0"/>
    <w:rsid w:val="000E5373"/>
    <w:rsid w:val="000E5C74"/>
    <w:rsid w:val="000E6867"/>
    <w:rsid w:val="000E741C"/>
    <w:rsid w:val="000E782C"/>
    <w:rsid w:val="000E7F95"/>
    <w:rsid w:val="000F0061"/>
    <w:rsid w:val="000F02E8"/>
    <w:rsid w:val="000F0883"/>
    <w:rsid w:val="000F0DB0"/>
    <w:rsid w:val="000F120F"/>
    <w:rsid w:val="000F1571"/>
    <w:rsid w:val="000F1C38"/>
    <w:rsid w:val="000F20F9"/>
    <w:rsid w:val="000F249C"/>
    <w:rsid w:val="000F262E"/>
    <w:rsid w:val="000F2CE4"/>
    <w:rsid w:val="000F349E"/>
    <w:rsid w:val="000F37D9"/>
    <w:rsid w:val="000F42EC"/>
    <w:rsid w:val="000F439B"/>
    <w:rsid w:val="000F45D6"/>
    <w:rsid w:val="000F45FC"/>
    <w:rsid w:val="000F4979"/>
    <w:rsid w:val="000F4EC8"/>
    <w:rsid w:val="000F4F82"/>
    <w:rsid w:val="000F530D"/>
    <w:rsid w:val="000F54AD"/>
    <w:rsid w:val="000F5520"/>
    <w:rsid w:val="000F5622"/>
    <w:rsid w:val="000F5AB1"/>
    <w:rsid w:val="000F5D13"/>
    <w:rsid w:val="000F6BC9"/>
    <w:rsid w:val="000F79B8"/>
    <w:rsid w:val="000F7E59"/>
    <w:rsid w:val="00100A7A"/>
    <w:rsid w:val="00100AA0"/>
    <w:rsid w:val="00101098"/>
    <w:rsid w:val="0010109F"/>
    <w:rsid w:val="0010121D"/>
    <w:rsid w:val="00101F9B"/>
    <w:rsid w:val="0010223E"/>
    <w:rsid w:val="001022A9"/>
    <w:rsid w:val="00103248"/>
    <w:rsid w:val="0010349E"/>
    <w:rsid w:val="001035CC"/>
    <w:rsid w:val="001035D4"/>
    <w:rsid w:val="001036E3"/>
    <w:rsid w:val="0010390A"/>
    <w:rsid w:val="00103A11"/>
    <w:rsid w:val="00103A3C"/>
    <w:rsid w:val="00103EA0"/>
    <w:rsid w:val="00104B2D"/>
    <w:rsid w:val="00105D76"/>
    <w:rsid w:val="0010639F"/>
    <w:rsid w:val="00106426"/>
    <w:rsid w:val="00106572"/>
    <w:rsid w:val="0010673C"/>
    <w:rsid w:val="001069F1"/>
    <w:rsid w:val="00106A31"/>
    <w:rsid w:val="00106E64"/>
    <w:rsid w:val="001070D5"/>
    <w:rsid w:val="00110D5F"/>
    <w:rsid w:val="00110EE5"/>
    <w:rsid w:val="001113FE"/>
    <w:rsid w:val="001120C6"/>
    <w:rsid w:val="00112C9E"/>
    <w:rsid w:val="001130BD"/>
    <w:rsid w:val="00114550"/>
    <w:rsid w:val="00114737"/>
    <w:rsid w:val="00114998"/>
    <w:rsid w:val="00114E41"/>
    <w:rsid w:val="00115007"/>
    <w:rsid w:val="001150FE"/>
    <w:rsid w:val="001153CD"/>
    <w:rsid w:val="00115541"/>
    <w:rsid w:val="00115679"/>
    <w:rsid w:val="0011623B"/>
    <w:rsid w:val="00116A9A"/>
    <w:rsid w:val="00116DC2"/>
    <w:rsid w:val="00117099"/>
    <w:rsid w:val="00117869"/>
    <w:rsid w:val="00120101"/>
    <w:rsid w:val="0012038B"/>
    <w:rsid w:val="001204F5"/>
    <w:rsid w:val="0012075C"/>
    <w:rsid w:val="00120790"/>
    <w:rsid w:val="001209D0"/>
    <w:rsid w:val="00120D26"/>
    <w:rsid w:val="00121197"/>
    <w:rsid w:val="00121446"/>
    <w:rsid w:val="00121647"/>
    <w:rsid w:val="001217DE"/>
    <w:rsid w:val="001219AF"/>
    <w:rsid w:val="001231CE"/>
    <w:rsid w:val="001233EA"/>
    <w:rsid w:val="00123601"/>
    <w:rsid w:val="00124125"/>
    <w:rsid w:val="00124696"/>
    <w:rsid w:val="00124FE1"/>
    <w:rsid w:val="00125156"/>
    <w:rsid w:val="001253FE"/>
    <w:rsid w:val="00125B8F"/>
    <w:rsid w:val="00125DDF"/>
    <w:rsid w:val="00125FA2"/>
    <w:rsid w:val="00126898"/>
    <w:rsid w:val="001275E9"/>
    <w:rsid w:val="001276A4"/>
    <w:rsid w:val="00127793"/>
    <w:rsid w:val="001302BD"/>
    <w:rsid w:val="00130D47"/>
    <w:rsid w:val="00131893"/>
    <w:rsid w:val="00131B01"/>
    <w:rsid w:val="00131E42"/>
    <w:rsid w:val="00132040"/>
    <w:rsid w:val="001327F0"/>
    <w:rsid w:val="001329B3"/>
    <w:rsid w:val="001342BA"/>
    <w:rsid w:val="001343B6"/>
    <w:rsid w:val="00134ABF"/>
    <w:rsid w:val="001360F2"/>
    <w:rsid w:val="00136129"/>
    <w:rsid w:val="001362C9"/>
    <w:rsid w:val="0013659F"/>
    <w:rsid w:val="001373E3"/>
    <w:rsid w:val="00137626"/>
    <w:rsid w:val="00140033"/>
    <w:rsid w:val="00140DA9"/>
    <w:rsid w:val="0014130E"/>
    <w:rsid w:val="00141AE3"/>
    <w:rsid w:val="00142249"/>
    <w:rsid w:val="00142BDB"/>
    <w:rsid w:val="00142CD5"/>
    <w:rsid w:val="00142DFE"/>
    <w:rsid w:val="00143027"/>
    <w:rsid w:val="00143B19"/>
    <w:rsid w:val="00143BF7"/>
    <w:rsid w:val="001444D9"/>
    <w:rsid w:val="00144C9D"/>
    <w:rsid w:val="001450E4"/>
    <w:rsid w:val="0014540D"/>
    <w:rsid w:val="00145DDD"/>
    <w:rsid w:val="00145F3A"/>
    <w:rsid w:val="00146A66"/>
    <w:rsid w:val="00146BA5"/>
    <w:rsid w:val="00146EC1"/>
    <w:rsid w:val="00147229"/>
    <w:rsid w:val="0014793E"/>
    <w:rsid w:val="00147B5A"/>
    <w:rsid w:val="00147B6C"/>
    <w:rsid w:val="00147D2F"/>
    <w:rsid w:val="0015017A"/>
    <w:rsid w:val="0015141D"/>
    <w:rsid w:val="001521A9"/>
    <w:rsid w:val="001529D2"/>
    <w:rsid w:val="00152C96"/>
    <w:rsid w:val="0015332F"/>
    <w:rsid w:val="0015348D"/>
    <w:rsid w:val="00153A76"/>
    <w:rsid w:val="00153E40"/>
    <w:rsid w:val="00154829"/>
    <w:rsid w:val="00154E93"/>
    <w:rsid w:val="00155075"/>
    <w:rsid w:val="00155462"/>
    <w:rsid w:val="001555F7"/>
    <w:rsid w:val="00155E3E"/>
    <w:rsid w:val="00157322"/>
    <w:rsid w:val="001574E2"/>
    <w:rsid w:val="0015787E"/>
    <w:rsid w:val="00160209"/>
    <w:rsid w:val="0016068B"/>
    <w:rsid w:val="001606FF"/>
    <w:rsid w:val="00160C68"/>
    <w:rsid w:val="00161870"/>
    <w:rsid w:val="00162229"/>
    <w:rsid w:val="00162F91"/>
    <w:rsid w:val="001637D8"/>
    <w:rsid w:val="0016400A"/>
    <w:rsid w:val="001645B2"/>
    <w:rsid w:val="00164B0D"/>
    <w:rsid w:val="00164F67"/>
    <w:rsid w:val="001651BA"/>
    <w:rsid w:val="0016560E"/>
    <w:rsid w:val="00165D3E"/>
    <w:rsid w:val="00165E54"/>
    <w:rsid w:val="00166636"/>
    <w:rsid w:val="001670F0"/>
    <w:rsid w:val="0016728D"/>
    <w:rsid w:val="001673B1"/>
    <w:rsid w:val="00167ED8"/>
    <w:rsid w:val="0017049A"/>
    <w:rsid w:val="001704C3"/>
    <w:rsid w:val="001704CE"/>
    <w:rsid w:val="00170F8F"/>
    <w:rsid w:val="00171B99"/>
    <w:rsid w:val="00171F3F"/>
    <w:rsid w:val="00172C36"/>
    <w:rsid w:val="00173B5E"/>
    <w:rsid w:val="00173FB5"/>
    <w:rsid w:val="0017490F"/>
    <w:rsid w:val="00175899"/>
    <w:rsid w:val="00175EE8"/>
    <w:rsid w:val="00175F2E"/>
    <w:rsid w:val="00176275"/>
    <w:rsid w:val="00176A1C"/>
    <w:rsid w:val="00176A40"/>
    <w:rsid w:val="00176C05"/>
    <w:rsid w:val="001775A4"/>
    <w:rsid w:val="001776C2"/>
    <w:rsid w:val="00177719"/>
    <w:rsid w:val="00177B95"/>
    <w:rsid w:val="00177C30"/>
    <w:rsid w:val="00177D2B"/>
    <w:rsid w:val="0018067B"/>
    <w:rsid w:val="00180E53"/>
    <w:rsid w:val="0018145F"/>
    <w:rsid w:val="0018163F"/>
    <w:rsid w:val="00181FEF"/>
    <w:rsid w:val="00182402"/>
    <w:rsid w:val="001827DF"/>
    <w:rsid w:val="0018293B"/>
    <w:rsid w:val="00182B49"/>
    <w:rsid w:val="001830DD"/>
    <w:rsid w:val="001836E5"/>
    <w:rsid w:val="0018375B"/>
    <w:rsid w:val="00184003"/>
    <w:rsid w:val="00184240"/>
    <w:rsid w:val="001843E9"/>
    <w:rsid w:val="001853B1"/>
    <w:rsid w:val="00185B36"/>
    <w:rsid w:val="00185CA6"/>
    <w:rsid w:val="00185DBF"/>
    <w:rsid w:val="00185E30"/>
    <w:rsid w:val="00186FCF"/>
    <w:rsid w:val="001870ED"/>
    <w:rsid w:val="001874BE"/>
    <w:rsid w:val="00187B64"/>
    <w:rsid w:val="00190181"/>
    <w:rsid w:val="00190860"/>
    <w:rsid w:val="0019120C"/>
    <w:rsid w:val="0019189C"/>
    <w:rsid w:val="00191C69"/>
    <w:rsid w:val="001922D2"/>
    <w:rsid w:val="001927E6"/>
    <w:rsid w:val="00192C8D"/>
    <w:rsid w:val="00193692"/>
    <w:rsid w:val="00194D5F"/>
    <w:rsid w:val="0019569D"/>
    <w:rsid w:val="001958C3"/>
    <w:rsid w:val="00195957"/>
    <w:rsid w:val="00195F41"/>
    <w:rsid w:val="001968ED"/>
    <w:rsid w:val="00197201"/>
    <w:rsid w:val="0019753A"/>
    <w:rsid w:val="001976DA"/>
    <w:rsid w:val="00197825"/>
    <w:rsid w:val="00197A02"/>
    <w:rsid w:val="00197E5E"/>
    <w:rsid w:val="001A02D9"/>
    <w:rsid w:val="001A0355"/>
    <w:rsid w:val="001A0708"/>
    <w:rsid w:val="001A074F"/>
    <w:rsid w:val="001A0762"/>
    <w:rsid w:val="001A095C"/>
    <w:rsid w:val="001A0F26"/>
    <w:rsid w:val="001A1E0A"/>
    <w:rsid w:val="001A1F0A"/>
    <w:rsid w:val="001A1FA1"/>
    <w:rsid w:val="001A208F"/>
    <w:rsid w:val="001A30A3"/>
    <w:rsid w:val="001A34A9"/>
    <w:rsid w:val="001A38B3"/>
    <w:rsid w:val="001A3938"/>
    <w:rsid w:val="001A3C6A"/>
    <w:rsid w:val="001A3CA2"/>
    <w:rsid w:val="001A4946"/>
    <w:rsid w:val="001A5E67"/>
    <w:rsid w:val="001A5E97"/>
    <w:rsid w:val="001A5F54"/>
    <w:rsid w:val="001A62F0"/>
    <w:rsid w:val="001A6837"/>
    <w:rsid w:val="001A6889"/>
    <w:rsid w:val="001A6CC2"/>
    <w:rsid w:val="001A7419"/>
    <w:rsid w:val="001A770B"/>
    <w:rsid w:val="001A7A8F"/>
    <w:rsid w:val="001A7BA2"/>
    <w:rsid w:val="001A7D76"/>
    <w:rsid w:val="001A7FED"/>
    <w:rsid w:val="001B07E9"/>
    <w:rsid w:val="001B13B1"/>
    <w:rsid w:val="001B1419"/>
    <w:rsid w:val="001B1499"/>
    <w:rsid w:val="001B1BC9"/>
    <w:rsid w:val="001B1FCE"/>
    <w:rsid w:val="001B2406"/>
    <w:rsid w:val="001B2E9F"/>
    <w:rsid w:val="001B30D0"/>
    <w:rsid w:val="001B398B"/>
    <w:rsid w:val="001B3F3D"/>
    <w:rsid w:val="001B3FDB"/>
    <w:rsid w:val="001B4221"/>
    <w:rsid w:val="001B45EE"/>
    <w:rsid w:val="001B484A"/>
    <w:rsid w:val="001B5308"/>
    <w:rsid w:val="001B5402"/>
    <w:rsid w:val="001B5915"/>
    <w:rsid w:val="001B597E"/>
    <w:rsid w:val="001B5AE2"/>
    <w:rsid w:val="001B6905"/>
    <w:rsid w:val="001B6AC5"/>
    <w:rsid w:val="001B6CBC"/>
    <w:rsid w:val="001B6DCC"/>
    <w:rsid w:val="001B6FFC"/>
    <w:rsid w:val="001B7767"/>
    <w:rsid w:val="001C0671"/>
    <w:rsid w:val="001C075D"/>
    <w:rsid w:val="001C12EC"/>
    <w:rsid w:val="001C1744"/>
    <w:rsid w:val="001C23CE"/>
    <w:rsid w:val="001C2910"/>
    <w:rsid w:val="001C2E14"/>
    <w:rsid w:val="001C3BCA"/>
    <w:rsid w:val="001C3F59"/>
    <w:rsid w:val="001C4356"/>
    <w:rsid w:val="001C4AAB"/>
    <w:rsid w:val="001C4DCF"/>
    <w:rsid w:val="001C6AFD"/>
    <w:rsid w:val="001C6E8D"/>
    <w:rsid w:val="001C7220"/>
    <w:rsid w:val="001C7C95"/>
    <w:rsid w:val="001C7CCE"/>
    <w:rsid w:val="001D062B"/>
    <w:rsid w:val="001D0FC5"/>
    <w:rsid w:val="001D1175"/>
    <w:rsid w:val="001D1680"/>
    <w:rsid w:val="001D17EA"/>
    <w:rsid w:val="001D1BCF"/>
    <w:rsid w:val="001D25DA"/>
    <w:rsid w:val="001D264A"/>
    <w:rsid w:val="001D30CB"/>
    <w:rsid w:val="001D469C"/>
    <w:rsid w:val="001D4AE9"/>
    <w:rsid w:val="001D4B89"/>
    <w:rsid w:val="001D4BE7"/>
    <w:rsid w:val="001D55D9"/>
    <w:rsid w:val="001D585A"/>
    <w:rsid w:val="001D59D4"/>
    <w:rsid w:val="001D5D98"/>
    <w:rsid w:val="001D5E8F"/>
    <w:rsid w:val="001D5EDD"/>
    <w:rsid w:val="001D6A71"/>
    <w:rsid w:val="001D6DCF"/>
    <w:rsid w:val="001D6E23"/>
    <w:rsid w:val="001D7128"/>
    <w:rsid w:val="001D7962"/>
    <w:rsid w:val="001E1A71"/>
    <w:rsid w:val="001E220E"/>
    <w:rsid w:val="001E280D"/>
    <w:rsid w:val="001E28DB"/>
    <w:rsid w:val="001E2900"/>
    <w:rsid w:val="001E2BE8"/>
    <w:rsid w:val="001E30F6"/>
    <w:rsid w:val="001E35E0"/>
    <w:rsid w:val="001E3AA5"/>
    <w:rsid w:val="001E4003"/>
    <w:rsid w:val="001E402A"/>
    <w:rsid w:val="001E5030"/>
    <w:rsid w:val="001E53CD"/>
    <w:rsid w:val="001E544A"/>
    <w:rsid w:val="001E57B0"/>
    <w:rsid w:val="001E5927"/>
    <w:rsid w:val="001E5A50"/>
    <w:rsid w:val="001E61E4"/>
    <w:rsid w:val="001E62B5"/>
    <w:rsid w:val="001E6964"/>
    <w:rsid w:val="001E7FFC"/>
    <w:rsid w:val="001F06D8"/>
    <w:rsid w:val="001F0873"/>
    <w:rsid w:val="001F0C60"/>
    <w:rsid w:val="001F10F4"/>
    <w:rsid w:val="001F1194"/>
    <w:rsid w:val="001F18E0"/>
    <w:rsid w:val="001F1D96"/>
    <w:rsid w:val="001F2168"/>
    <w:rsid w:val="001F2597"/>
    <w:rsid w:val="001F2B83"/>
    <w:rsid w:val="001F33D2"/>
    <w:rsid w:val="001F38FC"/>
    <w:rsid w:val="001F4B06"/>
    <w:rsid w:val="001F4F29"/>
    <w:rsid w:val="001F4FFE"/>
    <w:rsid w:val="001F5E7B"/>
    <w:rsid w:val="001F65A8"/>
    <w:rsid w:val="001F6E51"/>
    <w:rsid w:val="001F7E16"/>
    <w:rsid w:val="002000CC"/>
    <w:rsid w:val="0020031D"/>
    <w:rsid w:val="0020050F"/>
    <w:rsid w:val="00200514"/>
    <w:rsid w:val="002005C9"/>
    <w:rsid w:val="00200A19"/>
    <w:rsid w:val="00200DC0"/>
    <w:rsid w:val="002015FA"/>
    <w:rsid w:val="002016CD"/>
    <w:rsid w:val="002018A4"/>
    <w:rsid w:val="0020196D"/>
    <w:rsid w:val="00201C47"/>
    <w:rsid w:val="002020D4"/>
    <w:rsid w:val="00202B6C"/>
    <w:rsid w:val="00202D1F"/>
    <w:rsid w:val="0020333E"/>
    <w:rsid w:val="00203342"/>
    <w:rsid w:val="00203918"/>
    <w:rsid w:val="002044AF"/>
    <w:rsid w:val="002044CA"/>
    <w:rsid w:val="00204586"/>
    <w:rsid w:val="002055BC"/>
    <w:rsid w:val="00205654"/>
    <w:rsid w:val="002058B8"/>
    <w:rsid w:val="0020623A"/>
    <w:rsid w:val="0020634F"/>
    <w:rsid w:val="0020636B"/>
    <w:rsid w:val="00207215"/>
    <w:rsid w:val="00207668"/>
    <w:rsid w:val="002078A4"/>
    <w:rsid w:val="00207B4D"/>
    <w:rsid w:val="00207F4B"/>
    <w:rsid w:val="00210D24"/>
    <w:rsid w:val="00210E8B"/>
    <w:rsid w:val="0021146A"/>
    <w:rsid w:val="00211532"/>
    <w:rsid w:val="00211B26"/>
    <w:rsid w:val="002121EA"/>
    <w:rsid w:val="00212B22"/>
    <w:rsid w:val="00212BAB"/>
    <w:rsid w:val="00213758"/>
    <w:rsid w:val="00213980"/>
    <w:rsid w:val="002143B9"/>
    <w:rsid w:val="00214FEA"/>
    <w:rsid w:val="00215E5E"/>
    <w:rsid w:val="00216541"/>
    <w:rsid w:val="00216757"/>
    <w:rsid w:val="0021697E"/>
    <w:rsid w:val="00216A29"/>
    <w:rsid w:val="00216C5F"/>
    <w:rsid w:val="00217538"/>
    <w:rsid w:val="00217AA4"/>
    <w:rsid w:val="002200C0"/>
    <w:rsid w:val="00220580"/>
    <w:rsid w:val="002205EE"/>
    <w:rsid w:val="00220D51"/>
    <w:rsid w:val="00220D96"/>
    <w:rsid w:val="00220FCF"/>
    <w:rsid w:val="0022133B"/>
    <w:rsid w:val="002214A1"/>
    <w:rsid w:val="0022232D"/>
    <w:rsid w:val="002225E7"/>
    <w:rsid w:val="0022286F"/>
    <w:rsid w:val="00222AA8"/>
    <w:rsid w:val="00222C00"/>
    <w:rsid w:val="0022368A"/>
    <w:rsid w:val="00223BCE"/>
    <w:rsid w:val="00223CF5"/>
    <w:rsid w:val="00223D54"/>
    <w:rsid w:val="0022407C"/>
    <w:rsid w:val="002243B9"/>
    <w:rsid w:val="00224D2A"/>
    <w:rsid w:val="00224E82"/>
    <w:rsid w:val="00225261"/>
    <w:rsid w:val="002252C2"/>
    <w:rsid w:val="00225550"/>
    <w:rsid w:val="00225560"/>
    <w:rsid w:val="002259CA"/>
    <w:rsid w:val="00225CFC"/>
    <w:rsid w:val="00225D31"/>
    <w:rsid w:val="00225E58"/>
    <w:rsid w:val="00225F63"/>
    <w:rsid w:val="00225FD1"/>
    <w:rsid w:val="002265D5"/>
    <w:rsid w:val="00227F22"/>
    <w:rsid w:val="0023021D"/>
    <w:rsid w:val="002303CC"/>
    <w:rsid w:val="002309AE"/>
    <w:rsid w:val="00230AC0"/>
    <w:rsid w:val="002312D5"/>
    <w:rsid w:val="00231EA6"/>
    <w:rsid w:val="0023207B"/>
    <w:rsid w:val="002321C7"/>
    <w:rsid w:val="002330D8"/>
    <w:rsid w:val="00233236"/>
    <w:rsid w:val="00233297"/>
    <w:rsid w:val="00233DE7"/>
    <w:rsid w:val="0023403C"/>
    <w:rsid w:val="00234292"/>
    <w:rsid w:val="002342C5"/>
    <w:rsid w:val="00235626"/>
    <w:rsid w:val="00235840"/>
    <w:rsid w:val="00236488"/>
    <w:rsid w:val="00236CDC"/>
    <w:rsid w:val="00236F48"/>
    <w:rsid w:val="0024044A"/>
    <w:rsid w:val="00240F9C"/>
    <w:rsid w:val="00241063"/>
    <w:rsid w:val="00241FA1"/>
    <w:rsid w:val="0024279B"/>
    <w:rsid w:val="00242915"/>
    <w:rsid w:val="00242944"/>
    <w:rsid w:val="00242ABC"/>
    <w:rsid w:val="00242CF7"/>
    <w:rsid w:val="00243C1C"/>
    <w:rsid w:val="0024471B"/>
    <w:rsid w:val="00244CD5"/>
    <w:rsid w:val="0024558C"/>
    <w:rsid w:val="00245C35"/>
    <w:rsid w:val="00245C5B"/>
    <w:rsid w:val="00245E02"/>
    <w:rsid w:val="00245F5B"/>
    <w:rsid w:val="002461F4"/>
    <w:rsid w:val="00246294"/>
    <w:rsid w:val="00246795"/>
    <w:rsid w:val="00246C73"/>
    <w:rsid w:val="00246DD9"/>
    <w:rsid w:val="0025012C"/>
    <w:rsid w:val="002502F3"/>
    <w:rsid w:val="00250370"/>
    <w:rsid w:val="002503DF"/>
    <w:rsid w:val="00250721"/>
    <w:rsid w:val="0025076D"/>
    <w:rsid w:val="00250A80"/>
    <w:rsid w:val="00250AC3"/>
    <w:rsid w:val="0025103B"/>
    <w:rsid w:val="002510C2"/>
    <w:rsid w:val="00251462"/>
    <w:rsid w:val="002517FC"/>
    <w:rsid w:val="00251AC6"/>
    <w:rsid w:val="00252CF3"/>
    <w:rsid w:val="002533ED"/>
    <w:rsid w:val="00253A90"/>
    <w:rsid w:val="00253D22"/>
    <w:rsid w:val="00253D96"/>
    <w:rsid w:val="00254312"/>
    <w:rsid w:val="00254352"/>
    <w:rsid w:val="00254353"/>
    <w:rsid w:val="00254429"/>
    <w:rsid w:val="002544C7"/>
    <w:rsid w:val="00255594"/>
    <w:rsid w:val="00255DC7"/>
    <w:rsid w:val="0025618D"/>
    <w:rsid w:val="00256A61"/>
    <w:rsid w:val="00256CB0"/>
    <w:rsid w:val="0025721C"/>
    <w:rsid w:val="00257360"/>
    <w:rsid w:val="00257452"/>
    <w:rsid w:val="002602D0"/>
    <w:rsid w:val="0026097C"/>
    <w:rsid w:val="00260B20"/>
    <w:rsid w:val="00260FD1"/>
    <w:rsid w:val="0026154B"/>
    <w:rsid w:val="00261CFD"/>
    <w:rsid w:val="00261D1A"/>
    <w:rsid w:val="00261FCF"/>
    <w:rsid w:val="0026277A"/>
    <w:rsid w:val="0026279C"/>
    <w:rsid w:val="00262BEF"/>
    <w:rsid w:val="00263315"/>
    <w:rsid w:val="00265B3B"/>
    <w:rsid w:val="002665DA"/>
    <w:rsid w:val="00266758"/>
    <w:rsid w:val="00266DD3"/>
    <w:rsid w:val="00267364"/>
    <w:rsid w:val="00267ABA"/>
    <w:rsid w:val="00267DC4"/>
    <w:rsid w:val="00270139"/>
    <w:rsid w:val="002705E4"/>
    <w:rsid w:val="0027065F"/>
    <w:rsid w:val="002717C0"/>
    <w:rsid w:val="00271DDE"/>
    <w:rsid w:val="00272036"/>
    <w:rsid w:val="002721E8"/>
    <w:rsid w:val="0027240C"/>
    <w:rsid w:val="00272570"/>
    <w:rsid w:val="00272AF5"/>
    <w:rsid w:val="00273009"/>
    <w:rsid w:val="00273689"/>
    <w:rsid w:val="00273734"/>
    <w:rsid w:val="00273800"/>
    <w:rsid w:val="00273BCD"/>
    <w:rsid w:val="00273D5C"/>
    <w:rsid w:val="00273E2C"/>
    <w:rsid w:val="002748E3"/>
    <w:rsid w:val="00274966"/>
    <w:rsid w:val="00275207"/>
    <w:rsid w:val="002755C0"/>
    <w:rsid w:val="00275C0C"/>
    <w:rsid w:val="00275D7E"/>
    <w:rsid w:val="00275ED2"/>
    <w:rsid w:val="0027747A"/>
    <w:rsid w:val="00277B4D"/>
    <w:rsid w:val="0028031D"/>
    <w:rsid w:val="0028058B"/>
    <w:rsid w:val="0028066E"/>
    <w:rsid w:val="00280C09"/>
    <w:rsid w:val="00280FA5"/>
    <w:rsid w:val="002811E0"/>
    <w:rsid w:val="0028123D"/>
    <w:rsid w:val="00281499"/>
    <w:rsid w:val="00281D1A"/>
    <w:rsid w:val="00281DE7"/>
    <w:rsid w:val="00283204"/>
    <w:rsid w:val="002833F6"/>
    <w:rsid w:val="00283514"/>
    <w:rsid w:val="002838B7"/>
    <w:rsid w:val="00283A02"/>
    <w:rsid w:val="00283BF0"/>
    <w:rsid w:val="002850A3"/>
    <w:rsid w:val="00285E1D"/>
    <w:rsid w:val="002860ED"/>
    <w:rsid w:val="002861E9"/>
    <w:rsid w:val="00286567"/>
    <w:rsid w:val="00287128"/>
    <w:rsid w:val="0028762D"/>
    <w:rsid w:val="00287822"/>
    <w:rsid w:val="002909EE"/>
    <w:rsid w:val="00290ADF"/>
    <w:rsid w:val="00290B8A"/>
    <w:rsid w:val="00290E65"/>
    <w:rsid w:val="002917F7"/>
    <w:rsid w:val="00292640"/>
    <w:rsid w:val="00292F53"/>
    <w:rsid w:val="0029489C"/>
    <w:rsid w:val="00295189"/>
    <w:rsid w:val="00296669"/>
    <w:rsid w:val="0029670B"/>
    <w:rsid w:val="00296C51"/>
    <w:rsid w:val="002971F9"/>
    <w:rsid w:val="0029742F"/>
    <w:rsid w:val="002975A6"/>
    <w:rsid w:val="00297F46"/>
    <w:rsid w:val="002A025E"/>
    <w:rsid w:val="002A09A7"/>
    <w:rsid w:val="002A0AC5"/>
    <w:rsid w:val="002A0C4E"/>
    <w:rsid w:val="002A0CD2"/>
    <w:rsid w:val="002A0DB0"/>
    <w:rsid w:val="002A0E95"/>
    <w:rsid w:val="002A0EB6"/>
    <w:rsid w:val="002A131C"/>
    <w:rsid w:val="002A1F2C"/>
    <w:rsid w:val="002A2765"/>
    <w:rsid w:val="002A2E38"/>
    <w:rsid w:val="002A2FF0"/>
    <w:rsid w:val="002A32E2"/>
    <w:rsid w:val="002A3308"/>
    <w:rsid w:val="002A36F8"/>
    <w:rsid w:val="002A377A"/>
    <w:rsid w:val="002A4014"/>
    <w:rsid w:val="002A418A"/>
    <w:rsid w:val="002A41B8"/>
    <w:rsid w:val="002A4216"/>
    <w:rsid w:val="002A4A7A"/>
    <w:rsid w:val="002A4BE8"/>
    <w:rsid w:val="002A51F3"/>
    <w:rsid w:val="002A59E8"/>
    <w:rsid w:val="002A6431"/>
    <w:rsid w:val="002A643C"/>
    <w:rsid w:val="002A652D"/>
    <w:rsid w:val="002A6954"/>
    <w:rsid w:val="002A6D1A"/>
    <w:rsid w:val="002A7217"/>
    <w:rsid w:val="002A7A8D"/>
    <w:rsid w:val="002A7B4D"/>
    <w:rsid w:val="002B083C"/>
    <w:rsid w:val="002B0860"/>
    <w:rsid w:val="002B0E5C"/>
    <w:rsid w:val="002B0EE7"/>
    <w:rsid w:val="002B1EC4"/>
    <w:rsid w:val="002B1FF6"/>
    <w:rsid w:val="002B24B0"/>
    <w:rsid w:val="002B24F6"/>
    <w:rsid w:val="002B2CCF"/>
    <w:rsid w:val="002B2D7D"/>
    <w:rsid w:val="002B34C9"/>
    <w:rsid w:val="002B393B"/>
    <w:rsid w:val="002B3F25"/>
    <w:rsid w:val="002B4855"/>
    <w:rsid w:val="002B5406"/>
    <w:rsid w:val="002B5452"/>
    <w:rsid w:val="002B5481"/>
    <w:rsid w:val="002B551B"/>
    <w:rsid w:val="002B5FEA"/>
    <w:rsid w:val="002B6A7B"/>
    <w:rsid w:val="002B6D3C"/>
    <w:rsid w:val="002B6E26"/>
    <w:rsid w:val="002B71FC"/>
    <w:rsid w:val="002B7637"/>
    <w:rsid w:val="002B767E"/>
    <w:rsid w:val="002C0153"/>
    <w:rsid w:val="002C090F"/>
    <w:rsid w:val="002C183E"/>
    <w:rsid w:val="002C1BCC"/>
    <w:rsid w:val="002C1CC2"/>
    <w:rsid w:val="002C2093"/>
    <w:rsid w:val="002C2A0A"/>
    <w:rsid w:val="002C3499"/>
    <w:rsid w:val="002C34CB"/>
    <w:rsid w:val="002C34F7"/>
    <w:rsid w:val="002C3539"/>
    <w:rsid w:val="002C3557"/>
    <w:rsid w:val="002C3746"/>
    <w:rsid w:val="002C446E"/>
    <w:rsid w:val="002C4988"/>
    <w:rsid w:val="002C4C7B"/>
    <w:rsid w:val="002C5DE4"/>
    <w:rsid w:val="002C600C"/>
    <w:rsid w:val="002C6116"/>
    <w:rsid w:val="002C637C"/>
    <w:rsid w:val="002C67EF"/>
    <w:rsid w:val="002C6DA7"/>
    <w:rsid w:val="002C70FD"/>
    <w:rsid w:val="002C7A0A"/>
    <w:rsid w:val="002C7D87"/>
    <w:rsid w:val="002D0406"/>
    <w:rsid w:val="002D04C8"/>
    <w:rsid w:val="002D061A"/>
    <w:rsid w:val="002D0A9B"/>
    <w:rsid w:val="002D1168"/>
    <w:rsid w:val="002D125C"/>
    <w:rsid w:val="002D218A"/>
    <w:rsid w:val="002D26ED"/>
    <w:rsid w:val="002D2A10"/>
    <w:rsid w:val="002D36F6"/>
    <w:rsid w:val="002D3A76"/>
    <w:rsid w:val="002D3B84"/>
    <w:rsid w:val="002D41AA"/>
    <w:rsid w:val="002D4533"/>
    <w:rsid w:val="002D47A1"/>
    <w:rsid w:val="002D4865"/>
    <w:rsid w:val="002D4ACE"/>
    <w:rsid w:val="002D4C3F"/>
    <w:rsid w:val="002D4CAA"/>
    <w:rsid w:val="002D527D"/>
    <w:rsid w:val="002D68D0"/>
    <w:rsid w:val="002D6D78"/>
    <w:rsid w:val="002D7125"/>
    <w:rsid w:val="002D7812"/>
    <w:rsid w:val="002D7FB8"/>
    <w:rsid w:val="002E0109"/>
    <w:rsid w:val="002E01BF"/>
    <w:rsid w:val="002E04BC"/>
    <w:rsid w:val="002E090D"/>
    <w:rsid w:val="002E0BB0"/>
    <w:rsid w:val="002E101E"/>
    <w:rsid w:val="002E108F"/>
    <w:rsid w:val="002E110F"/>
    <w:rsid w:val="002E180E"/>
    <w:rsid w:val="002E1FEE"/>
    <w:rsid w:val="002E2170"/>
    <w:rsid w:val="002E281A"/>
    <w:rsid w:val="002E2A5F"/>
    <w:rsid w:val="002E3307"/>
    <w:rsid w:val="002E385A"/>
    <w:rsid w:val="002E3C87"/>
    <w:rsid w:val="002E3CE5"/>
    <w:rsid w:val="002E40BC"/>
    <w:rsid w:val="002E4949"/>
    <w:rsid w:val="002E4A10"/>
    <w:rsid w:val="002E4D8E"/>
    <w:rsid w:val="002E50D4"/>
    <w:rsid w:val="002E53C1"/>
    <w:rsid w:val="002E6446"/>
    <w:rsid w:val="002E6470"/>
    <w:rsid w:val="002E6ADE"/>
    <w:rsid w:val="002E6B89"/>
    <w:rsid w:val="002E6E25"/>
    <w:rsid w:val="002E72B7"/>
    <w:rsid w:val="002E7C18"/>
    <w:rsid w:val="002F069E"/>
    <w:rsid w:val="002F0E1B"/>
    <w:rsid w:val="002F0E2D"/>
    <w:rsid w:val="002F1308"/>
    <w:rsid w:val="002F14A6"/>
    <w:rsid w:val="002F1A0C"/>
    <w:rsid w:val="002F1C26"/>
    <w:rsid w:val="002F1D06"/>
    <w:rsid w:val="002F2A3D"/>
    <w:rsid w:val="002F2B81"/>
    <w:rsid w:val="002F35C5"/>
    <w:rsid w:val="002F3BC4"/>
    <w:rsid w:val="002F4709"/>
    <w:rsid w:val="002F472F"/>
    <w:rsid w:val="002F4905"/>
    <w:rsid w:val="002F610F"/>
    <w:rsid w:val="002F63E3"/>
    <w:rsid w:val="002F7249"/>
    <w:rsid w:val="002F7A0E"/>
    <w:rsid w:val="002F7DDD"/>
    <w:rsid w:val="002F7E21"/>
    <w:rsid w:val="00300235"/>
    <w:rsid w:val="00300B75"/>
    <w:rsid w:val="00300CC6"/>
    <w:rsid w:val="003012F0"/>
    <w:rsid w:val="00301AC3"/>
    <w:rsid w:val="00301EB7"/>
    <w:rsid w:val="0030206C"/>
    <w:rsid w:val="00302668"/>
    <w:rsid w:val="00302771"/>
    <w:rsid w:val="003028A1"/>
    <w:rsid w:val="003029EF"/>
    <w:rsid w:val="00302D51"/>
    <w:rsid w:val="00302E84"/>
    <w:rsid w:val="003039E0"/>
    <w:rsid w:val="0030412C"/>
    <w:rsid w:val="0030423D"/>
    <w:rsid w:val="003049D5"/>
    <w:rsid w:val="00304CD8"/>
    <w:rsid w:val="00304F55"/>
    <w:rsid w:val="003054AD"/>
    <w:rsid w:val="0030642E"/>
    <w:rsid w:val="0030671A"/>
    <w:rsid w:val="00306985"/>
    <w:rsid w:val="00306AC0"/>
    <w:rsid w:val="003073F7"/>
    <w:rsid w:val="003074E0"/>
    <w:rsid w:val="00307A7C"/>
    <w:rsid w:val="003101A9"/>
    <w:rsid w:val="0031043A"/>
    <w:rsid w:val="00310AF5"/>
    <w:rsid w:val="00310DA1"/>
    <w:rsid w:val="00310E79"/>
    <w:rsid w:val="00310FB2"/>
    <w:rsid w:val="0031119F"/>
    <w:rsid w:val="00311676"/>
    <w:rsid w:val="00311C01"/>
    <w:rsid w:val="00311E7C"/>
    <w:rsid w:val="00311FF7"/>
    <w:rsid w:val="00312729"/>
    <w:rsid w:val="0031274C"/>
    <w:rsid w:val="00312C28"/>
    <w:rsid w:val="00313C77"/>
    <w:rsid w:val="00314487"/>
    <w:rsid w:val="003147BE"/>
    <w:rsid w:val="00314840"/>
    <w:rsid w:val="00314D70"/>
    <w:rsid w:val="0031580B"/>
    <w:rsid w:val="00315AB0"/>
    <w:rsid w:val="00315C09"/>
    <w:rsid w:val="00315CB4"/>
    <w:rsid w:val="00316163"/>
    <w:rsid w:val="00316308"/>
    <w:rsid w:val="00316547"/>
    <w:rsid w:val="003167DD"/>
    <w:rsid w:val="00316ADE"/>
    <w:rsid w:val="00317020"/>
    <w:rsid w:val="00317296"/>
    <w:rsid w:val="003173A2"/>
    <w:rsid w:val="003175B7"/>
    <w:rsid w:val="00317966"/>
    <w:rsid w:val="00317A49"/>
    <w:rsid w:val="00317C1F"/>
    <w:rsid w:val="00317C71"/>
    <w:rsid w:val="0032006A"/>
    <w:rsid w:val="003206C2"/>
    <w:rsid w:val="00320B2F"/>
    <w:rsid w:val="00320C52"/>
    <w:rsid w:val="00320D7D"/>
    <w:rsid w:val="00320E5D"/>
    <w:rsid w:val="00321527"/>
    <w:rsid w:val="003219D7"/>
    <w:rsid w:val="00322357"/>
    <w:rsid w:val="00322D93"/>
    <w:rsid w:val="00323080"/>
    <w:rsid w:val="0032334B"/>
    <w:rsid w:val="00323771"/>
    <w:rsid w:val="003239AA"/>
    <w:rsid w:val="0032421B"/>
    <w:rsid w:val="00324A99"/>
    <w:rsid w:val="00324CB9"/>
    <w:rsid w:val="00324F33"/>
    <w:rsid w:val="00325210"/>
    <w:rsid w:val="00325211"/>
    <w:rsid w:val="003253D6"/>
    <w:rsid w:val="00325C25"/>
    <w:rsid w:val="00326078"/>
    <w:rsid w:val="00326596"/>
    <w:rsid w:val="00326688"/>
    <w:rsid w:val="00326820"/>
    <w:rsid w:val="00326894"/>
    <w:rsid w:val="00326BEA"/>
    <w:rsid w:val="003272BC"/>
    <w:rsid w:val="003277A5"/>
    <w:rsid w:val="00327F32"/>
    <w:rsid w:val="003304D3"/>
    <w:rsid w:val="003306A6"/>
    <w:rsid w:val="003307C5"/>
    <w:rsid w:val="003317AA"/>
    <w:rsid w:val="003318E2"/>
    <w:rsid w:val="003321E2"/>
    <w:rsid w:val="00332219"/>
    <w:rsid w:val="003322CC"/>
    <w:rsid w:val="003323C8"/>
    <w:rsid w:val="00332D19"/>
    <w:rsid w:val="00332F13"/>
    <w:rsid w:val="003334B2"/>
    <w:rsid w:val="00333784"/>
    <w:rsid w:val="00333E11"/>
    <w:rsid w:val="0033518D"/>
    <w:rsid w:val="003352CB"/>
    <w:rsid w:val="0033599F"/>
    <w:rsid w:val="00335DBA"/>
    <w:rsid w:val="003361FD"/>
    <w:rsid w:val="00336603"/>
    <w:rsid w:val="00337B88"/>
    <w:rsid w:val="00340179"/>
    <w:rsid w:val="00340A6D"/>
    <w:rsid w:val="003415B2"/>
    <w:rsid w:val="003420EB"/>
    <w:rsid w:val="00342197"/>
    <w:rsid w:val="00342325"/>
    <w:rsid w:val="0034283B"/>
    <w:rsid w:val="00342B53"/>
    <w:rsid w:val="003431E7"/>
    <w:rsid w:val="00343B22"/>
    <w:rsid w:val="00343C1D"/>
    <w:rsid w:val="00343EA2"/>
    <w:rsid w:val="00343EE9"/>
    <w:rsid w:val="00344028"/>
    <w:rsid w:val="003441B3"/>
    <w:rsid w:val="00344463"/>
    <w:rsid w:val="00344F51"/>
    <w:rsid w:val="00345309"/>
    <w:rsid w:val="00345FA1"/>
    <w:rsid w:val="00346544"/>
    <w:rsid w:val="003472FF"/>
    <w:rsid w:val="003503A6"/>
    <w:rsid w:val="00350BCF"/>
    <w:rsid w:val="003510E7"/>
    <w:rsid w:val="0035128D"/>
    <w:rsid w:val="003515EE"/>
    <w:rsid w:val="00351630"/>
    <w:rsid w:val="003517BF"/>
    <w:rsid w:val="00353396"/>
    <w:rsid w:val="0035382C"/>
    <w:rsid w:val="003539AA"/>
    <w:rsid w:val="00353AFF"/>
    <w:rsid w:val="003540F8"/>
    <w:rsid w:val="003542F4"/>
    <w:rsid w:val="003543D5"/>
    <w:rsid w:val="00354A2D"/>
    <w:rsid w:val="00354C20"/>
    <w:rsid w:val="00354DC9"/>
    <w:rsid w:val="003550E5"/>
    <w:rsid w:val="003553C3"/>
    <w:rsid w:val="0035583F"/>
    <w:rsid w:val="00356CB9"/>
    <w:rsid w:val="00356DE9"/>
    <w:rsid w:val="00356FD5"/>
    <w:rsid w:val="00357116"/>
    <w:rsid w:val="00357938"/>
    <w:rsid w:val="0036043A"/>
    <w:rsid w:val="003606C1"/>
    <w:rsid w:val="00360737"/>
    <w:rsid w:val="003608B6"/>
    <w:rsid w:val="00360AEB"/>
    <w:rsid w:val="00360B4F"/>
    <w:rsid w:val="00360D75"/>
    <w:rsid w:val="0036151D"/>
    <w:rsid w:val="00361A87"/>
    <w:rsid w:val="00363132"/>
    <w:rsid w:val="00363647"/>
    <w:rsid w:val="00363AB6"/>
    <w:rsid w:val="00363DFB"/>
    <w:rsid w:val="00364B94"/>
    <w:rsid w:val="003659C0"/>
    <w:rsid w:val="00365C1F"/>
    <w:rsid w:val="00366BC6"/>
    <w:rsid w:val="00367780"/>
    <w:rsid w:val="00367901"/>
    <w:rsid w:val="003679EC"/>
    <w:rsid w:val="00367C15"/>
    <w:rsid w:val="00367E8A"/>
    <w:rsid w:val="003705E1"/>
    <w:rsid w:val="00370758"/>
    <w:rsid w:val="003708F8"/>
    <w:rsid w:val="00370AAF"/>
    <w:rsid w:val="00370E20"/>
    <w:rsid w:val="00370E2E"/>
    <w:rsid w:val="00371B3E"/>
    <w:rsid w:val="003723B6"/>
    <w:rsid w:val="00372E26"/>
    <w:rsid w:val="00372FAB"/>
    <w:rsid w:val="003734EF"/>
    <w:rsid w:val="00374143"/>
    <w:rsid w:val="003741A1"/>
    <w:rsid w:val="003750BD"/>
    <w:rsid w:val="0037516C"/>
    <w:rsid w:val="003754B8"/>
    <w:rsid w:val="00375F11"/>
    <w:rsid w:val="00376103"/>
    <w:rsid w:val="00376D12"/>
    <w:rsid w:val="003770E9"/>
    <w:rsid w:val="003771BE"/>
    <w:rsid w:val="003772F4"/>
    <w:rsid w:val="003779EA"/>
    <w:rsid w:val="00377AC0"/>
    <w:rsid w:val="00377B01"/>
    <w:rsid w:val="00383212"/>
    <w:rsid w:val="00383257"/>
    <w:rsid w:val="00383390"/>
    <w:rsid w:val="00383825"/>
    <w:rsid w:val="00383E94"/>
    <w:rsid w:val="003842A6"/>
    <w:rsid w:val="0038471D"/>
    <w:rsid w:val="0038521D"/>
    <w:rsid w:val="0038536C"/>
    <w:rsid w:val="00385531"/>
    <w:rsid w:val="00385A2E"/>
    <w:rsid w:val="00385FCF"/>
    <w:rsid w:val="003868C5"/>
    <w:rsid w:val="00386D28"/>
    <w:rsid w:val="00386E61"/>
    <w:rsid w:val="0038761F"/>
    <w:rsid w:val="003902AF"/>
    <w:rsid w:val="0039083D"/>
    <w:rsid w:val="00391764"/>
    <w:rsid w:val="00391A23"/>
    <w:rsid w:val="00391D57"/>
    <w:rsid w:val="00392364"/>
    <w:rsid w:val="0039253E"/>
    <w:rsid w:val="00392586"/>
    <w:rsid w:val="003926B2"/>
    <w:rsid w:val="00392716"/>
    <w:rsid w:val="003929F6"/>
    <w:rsid w:val="00392CD5"/>
    <w:rsid w:val="00392FE5"/>
    <w:rsid w:val="00393366"/>
    <w:rsid w:val="00393433"/>
    <w:rsid w:val="003935E8"/>
    <w:rsid w:val="003935FF"/>
    <w:rsid w:val="003937C3"/>
    <w:rsid w:val="003937FD"/>
    <w:rsid w:val="00393AAB"/>
    <w:rsid w:val="0039405E"/>
    <w:rsid w:val="003941A0"/>
    <w:rsid w:val="003958E4"/>
    <w:rsid w:val="0039641D"/>
    <w:rsid w:val="00396A62"/>
    <w:rsid w:val="00397224"/>
    <w:rsid w:val="003975B3"/>
    <w:rsid w:val="00397DA3"/>
    <w:rsid w:val="003A03D9"/>
    <w:rsid w:val="003A086B"/>
    <w:rsid w:val="003A0B23"/>
    <w:rsid w:val="003A0D90"/>
    <w:rsid w:val="003A1025"/>
    <w:rsid w:val="003A1136"/>
    <w:rsid w:val="003A117A"/>
    <w:rsid w:val="003A1481"/>
    <w:rsid w:val="003A1E42"/>
    <w:rsid w:val="003A2ACD"/>
    <w:rsid w:val="003A2E3E"/>
    <w:rsid w:val="003A32F7"/>
    <w:rsid w:val="003A35DA"/>
    <w:rsid w:val="003A397C"/>
    <w:rsid w:val="003A3A2B"/>
    <w:rsid w:val="003A48FF"/>
    <w:rsid w:val="003A4D42"/>
    <w:rsid w:val="003A4E13"/>
    <w:rsid w:val="003A5312"/>
    <w:rsid w:val="003A59A9"/>
    <w:rsid w:val="003A612A"/>
    <w:rsid w:val="003A615E"/>
    <w:rsid w:val="003A6B37"/>
    <w:rsid w:val="003A6B44"/>
    <w:rsid w:val="003A6F4E"/>
    <w:rsid w:val="003A7D29"/>
    <w:rsid w:val="003A7E3E"/>
    <w:rsid w:val="003B07E6"/>
    <w:rsid w:val="003B0C03"/>
    <w:rsid w:val="003B1077"/>
    <w:rsid w:val="003B12CB"/>
    <w:rsid w:val="003B1A4C"/>
    <w:rsid w:val="003B21AA"/>
    <w:rsid w:val="003B2582"/>
    <w:rsid w:val="003B25C1"/>
    <w:rsid w:val="003B2B92"/>
    <w:rsid w:val="003B30A3"/>
    <w:rsid w:val="003B3B48"/>
    <w:rsid w:val="003B431D"/>
    <w:rsid w:val="003B49A9"/>
    <w:rsid w:val="003B4BF4"/>
    <w:rsid w:val="003B4F4B"/>
    <w:rsid w:val="003B5135"/>
    <w:rsid w:val="003B65B9"/>
    <w:rsid w:val="003B68E1"/>
    <w:rsid w:val="003B746E"/>
    <w:rsid w:val="003B77F6"/>
    <w:rsid w:val="003B7B39"/>
    <w:rsid w:val="003B7BB8"/>
    <w:rsid w:val="003B7C68"/>
    <w:rsid w:val="003B7C9B"/>
    <w:rsid w:val="003C0D03"/>
    <w:rsid w:val="003C24C0"/>
    <w:rsid w:val="003C25A8"/>
    <w:rsid w:val="003C268C"/>
    <w:rsid w:val="003C2863"/>
    <w:rsid w:val="003C36E1"/>
    <w:rsid w:val="003C3863"/>
    <w:rsid w:val="003C39C7"/>
    <w:rsid w:val="003C3A5C"/>
    <w:rsid w:val="003C4BF6"/>
    <w:rsid w:val="003C4DD3"/>
    <w:rsid w:val="003C4F31"/>
    <w:rsid w:val="003C5B27"/>
    <w:rsid w:val="003C5D48"/>
    <w:rsid w:val="003C6169"/>
    <w:rsid w:val="003C63E3"/>
    <w:rsid w:val="003C63EF"/>
    <w:rsid w:val="003C65ED"/>
    <w:rsid w:val="003C69F4"/>
    <w:rsid w:val="003C6B79"/>
    <w:rsid w:val="003C6D24"/>
    <w:rsid w:val="003C6D84"/>
    <w:rsid w:val="003C7286"/>
    <w:rsid w:val="003C7B15"/>
    <w:rsid w:val="003D0003"/>
    <w:rsid w:val="003D09E6"/>
    <w:rsid w:val="003D0A03"/>
    <w:rsid w:val="003D0C82"/>
    <w:rsid w:val="003D0DFE"/>
    <w:rsid w:val="003D0FFC"/>
    <w:rsid w:val="003D1196"/>
    <w:rsid w:val="003D18F7"/>
    <w:rsid w:val="003D1FA7"/>
    <w:rsid w:val="003D2F50"/>
    <w:rsid w:val="003D32FE"/>
    <w:rsid w:val="003D358A"/>
    <w:rsid w:val="003D396C"/>
    <w:rsid w:val="003D3B16"/>
    <w:rsid w:val="003D3D56"/>
    <w:rsid w:val="003D40D7"/>
    <w:rsid w:val="003D4541"/>
    <w:rsid w:val="003D47E3"/>
    <w:rsid w:val="003D4D84"/>
    <w:rsid w:val="003D5195"/>
    <w:rsid w:val="003D561E"/>
    <w:rsid w:val="003D5828"/>
    <w:rsid w:val="003D58D1"/>
    <w:rsid w:val="003D6636"/>
    <w:rsid w:val="003D6D3B"/>
    <w:rsid w:val="003D7101"/>
    <w:rsid w:val="003D738D"/>
    <w:rsid w:val="003D79C2"/>
    <w:rsid w:val="003D7CA2"/>
    <w:rsid w:val="003D7EC0"/>
    <w:rsid w:val="003E08CD"/>
    <w:rsid w:val="003E0D0E"/>
    <w:rsid w:val="003E15A5"/>
    <w:rsid w:val="003E2E0D"/>
    <w:rsid w:val="003E3736"/>
    <w:rsid w:val="003E40FF"/>
    <w:rsid w:val="003E44D5"/>
    <w:rsid w:val="003E487C"/>
    <w:rsid w:val="003E67A5"/>
    <w:rsid w:val="003E6CE5"/>
    <w:rsid w:val="003E72DC"/>
    <w:rsid w:val="003E779E"/>
    <w:rsid w:val="003E7808"/>
    <w:rsid w:val="003E788B"/>
    <w:rsid w:val="003F020C"/>
    <w:rsid w:val="003F046C"/>
    <w:rsid w:val="003F1C8C"/>
    <w:rsid w:val="003F2836"/>
    <w:rsid w:val="003F300F"/>
    <w:rsid w:val="003F38A1"/>
    <w:rsid w:val="003F3A9D"/>
    <w:rsid w:val="003F3C35"/>
    <w:rsid w:val="003F43B3"/>
    <w:rsid w:val="003F448F"/>
    <w:rsid w:val="003F4659"/>
    <w:rsid w:val="003F52FB"/>
    <w:rsid w:val="003F59C8"/>
    <w:rsid w:val="003F6107"/>
    <w:rsid w:val="003F6384"/>
    <w:rsid w:val="003F6D30"/>
    <w:rsid w:val="003F71BE"/>
    <w:rsid w:val="003F71D1"/>
    <w:rsid w:val="003F743E"/>
    <w:rsid w:val="003F757E"/>
    <w:rsid w:val="003F79FE"/>
    <w:rsid w:val="003F7A8F"/>
    <w:rsid w:val="004002A4"/>
    <w:rsid w:val="00400529"/>
    <w:rsid w:val="00401534"/>
    <w:rsid w:val="00401824"/>
    <w:rsid w:val="00401936"/>
    <w:rsid w:val="004019F3"/>
    <w:rsid w:val="00401C1D"/>
    <w:rsid w:val="00402175"/>
    <w:rsid w:val="00403582"/>
    <w:rsid w:val="0040398C"/>
    <w:rsid w:val="00403C53"/>
    <w:rsid w:val="00403D2C"/>
    <w:rsid w:val="00404202"/>
    <w:rsid w:val="0040427E"/>
    <w:rsid w:val="00404602"/>
    <w:rsid w:val="00405CAB"/>
    <w:rsid w:val="004062FC"/>
    <w:rsid w:val="004067B7"/>
    <w:rsid w:val="00406B98"/>
    <w:rsid w:val="004073F0"/>
    <w:rsid w:val="004077C3"/>
    <w:rsid w:val="00407DF6"/>
    <w:rsid w:val="00410744"/>
    <w:rsid w:val="0041080B"/>
    <w:rsid w:val="0041091C"/>
    <w:rsid w:val="00410D8B"/>
    <w:rsid w:val="00411EE3"/>
    <w:rsid w:val="00411FF6"/>
    <w:rsid w:val="0041200A"/>
    <w:rsid w:val="0041225D"/>
    <w:rsid w:val="0041286A"/>
    <w:rsid w:val="00412D75"/>
    <w:rsid w:val="00412E0E"/>
    <w:rsid w:val="0041335E"/>
    <w:rsid w:val="00413B73"/>
    <w:rsid w:val="00413B8C"/>
    <w:rsid w:val="004146B1"/>
    <w:rsid w:val="0041486D"/>
    <w:rsid w:val="00414F19"/>
    <w:rsid w:val="00415F21"/>
    <w:rsid w:val="004165DA"/>
    <w:rsid w:val="00417A8F"/>
    <w:rsid w:val="00417E6B"/>
    <w:rsid w:val="004200F8"/>
    <w:rsid w:val="0042025E"/>
    <w:rsid w:val="00420CE3"/>
    <w:rsid w:val="00420D88"/>
    <w:rsid w:val="00420DF2"/>
    <w:rsid w:val="00420E46"/>
    <w:rsid w:val="00420ECE"/>
    <w:rsid w:val="004210C6"/>
    <w:rsid w:val="00421527"/>
    <w:rsid w:val="00421642"/>
    <w:rsid w:val="0042180E"/>
    <w:rsid w:val="00421951"/>
    <w:rsid w:val="0042260F"/>
    <w:rsid w:val="004229F6"/>
    <w:rsid w:val="00422DE6"/>
    <w:rsid w:val="004230F5"/>
    <w:rsid w:val="00423787"/>
    <w:rsid w:val="004237F7"/>
    <w:rsid w:val="0042390C"/>
    <w:rsid w:val="004241CD"/>
    <w:rsid w:val="0042483F"/>
    <w:rsid w:val="00424949"/>
    <w:rsid w:val="00424BF7"/>
    <w:rsid w:val="0042563B"/>
    <w:rsid w:val="00425D0E"/>
    <w:rsid w:val="00426238"/>
    <w:rsid w:val="00426AE3"/>
    <w:rsid w:val="00427756"/>
    <w:rsid w:val="00427DD0"/>
    <w:rsid w:val="00430092"/>
    <w:rsid w:val="00430737"/>
    <w:rsid w:val="00431B5B"/>
    <w:rsid w:val="00431E8F"/>
    <w:rsid w:val="00431F6D"/>
    <w:rsid w:val="00432401"/>
    <w:rsid w:val="004328FB"/>
    <w:rsid w:val="00432C64"/>
    <w:rsid w:val="0043331C"/>
    <w:rsid w:val="004333C6"/>
    <w:rsid w:val="0043441D"/>
    <w:rsid w:val="00434454"/>
    <w:rsid w:val="004347B2"/>
    <w:rsid w:val="00434F6E"/>
    <w:rsid w:val="004352A0"/>
    <w:rsid w:val="00435824"/>
    <w:rsid w:val="0043589C"/>
    <w:rsid w:val="00435C7B"/>
    <w:rsid w:val="00436134"/>
    <w:rsid w:val="004361AF"/>
    <w:rsid w:val="004363CF"/>
    <w:rsid w:val="004364B2"/>
    <w:rsid w:val="00436973"/>
    <w:rsid w:val="004376F5"/>
    <w:rsid w:val="00437B9F"/>
    <w:rsid w:val="0044002B"/>
    <w:rsid w:val="004401E2"/>
    <w:rsid w:val="00440392"/>
    <w:rsid w:val="00440445"/>
    <w:rsid w:val="00440706"/>
    <w:rsid w:val="00440A4B"/>
    <w:rsid w:val="00440B0F"/>
    <w:rsid w:val="00440E1F"/>
    <w:rsid w:val="00441689"/>
    <w:rsid w:val="0044176C"/>
    <w:rsid w:val="00442C45"/>
    <w:rsid w:val="00442E32"/>
    <w:rsid w:val="00443384"/>
    <w:rsid w:val="004439F8"/>
    <w:rsid w:val="00443A12"/>
    <w:rsid w:val="00443C5C"/>
    <w:rsid w:val="00443F45"/>
    <w:rsid w:val="00444297"/>
    <w:rsid w:val="00444738"/>
    <w:rsid w:val="004448DD"/>
    <w:rsid w:val="00444E30"/>
    <w:rsid w:val="00444F5D"/>
    <w:rsid w:val="0044535F"/>
    <w:rsid w:val="004455B2"/>
    <w:rsid w:val="004456F4"/>
    <w:rsid w:val="00446C9F"/>
    <w:rsid w:val="004478AE"/>
    <w:rsid w:val="00447CF3"/>
    <w:rsid w:val="004504A9"/>
    <w:rsid w:val="00450B4D"/>
    <w:rsid w:val="00450BED"/>
    <w:rsid w:val="00451083"/>
    <w:rsid w:val="004511C8"/>
    <w:rsid w:val="0045155A"/>
    <w:rsid w:val="004515D5"/>
    <w:rsid w:val="00451633"/>
    <w:rsid w:val="004518A7"/>
    <w:rsid w:val="00451CA9"/>
    <w:rsid w:val="0045201B"/>
    <w:rsid w:val="004524D0"/>
    <w:rsid w:val="00452845"/>
    <w:rsid w:val="00454165"/>
    <w:rsid w:val="0045427A"/>
    <w:rsid w:val="00454695"/>
    <w:rsid w:val="004546A0"/>
    <w:rsid w:val="0045526E"/>
    <w:rsid w:val="0045550D"/>
    <w:rsid w:val="00455CD5"/>
    <w:rsid w:val="00455E06"/>
    <w:rsid w:val="0045606C"/>
    <w:rsid w:val="004560AF"/>
    <w:rsid w:val="00456239"/>
    <w:rsid w:val="00456D48"/>
    <w:rsid w:val="0045737F"/>
    <w:rsid w:val="00457A06"/>
    <w:rsid w:val="00460A3B"/>
    <w:rsid w:val="00460DE3"/>
    <w:rsid w:val="004611AA"/>
    <w:rsid w:val="0046198A"/>
    <w:rsid w:val="00461C87"/>
    <w:rsid w:val="00461DE8"/>
    <w:rsid w:val="00461FA7"/>
    <w:rsid w:val="00462756"/>
    <w:rsid w:val="0046335F"/>
    <w:rsid w:val="004638F8"/>
    <w:rsid w:val="00463C62"/>
    <w:rsid w:val="00463D7F"/>
    <w:rsid w:val="004641CC"/>
    <w:rsid w:val="00465BF8"/>
    <w:rsid w:val="00465E32"/>
    <w:rsid w:val="00465FE3"/>
    <w:rsid w:val="00466511"/>
    <w:rsid w:val="0046685E"/>
    <w:rsid w:val="004709CE"/>
    <w:rsid w:val="00470A49"/>
    <w:rsid w:val="00470B9E"/>
    <w:rsid w:val="004712BA"/>
    <w:rsid w:val="004715A1"/>
    <w:rsid w:val="004716D6"/>
    <w:rsid w:val="00471B06"/>
    <w:rsid w:val="00471C4E"/>
    <w:rsid w:val="00471E30"/>
    <w:rsid w:val="00471F33"/>
    <w:rsid w:val="00473A02"/>
    <w:rsid w:val="00474CE9"/>
    <w:rsid w:val="0047550F"/>
    <w:rsid w:val="00475973"/>
    <w:rsid w:val="00475995"/>
    <w:rsid w:val="00475F9F"/>
    <w:rsid w:val="004765E8"/>
    <w:rsid w:val="004769A6"/>
    <w:rsid w:val="00476DCF"/>
    <w:rsid w:val="00477495"/>
    <w:rsid w:val="0047756B"/>
    <w:rsid w:val="004779F4"/>
    <w:rsid w:val="0048034F"/>
    <w:rsid w:val="004806C0"/>
    <w:rsid w:val="00480EB4"/>
    <w:rsid w:val="00481084"/>
    <w:rsid w:val="00481AAD"/>
    <w:rsid w:val="00482B26"/>
    <w:rsid w:val="00482C38"/>
    <w:rsid w:val="00482DF6"/>
    <w:rsid w:val="004836DB"/>
    <w:rsid w:val="00484336"/>
    <w:rsid w:val="004843A7"/>
    <w:rsid w:val="004845B9"/>
    <w:rsid w:val="00484790"/>
    <w:rsid w:val="0048524E"/>
    <w:rsid w:val="004856F8"/>
    <w:rsid w:val="0048591A"/>
    <w:rsid w:val="00485BD5"/>
    <w:rsid w:val="00485DB5"/>
    <w:rsid w:val="00486AC7"/>
    <w:rsid w:val="00487920"/>
    <w:rsid w:val="00490340"/>
    <w:rsid w:val="00490358"/>
    <w:rsid w:val="004905EB"/>
    <w:rsid w:val="00490683"/>
    <w:rsid w:val="004910CA"/>
    <w:rsid w:val="00491927"/>
    <w:rsid w:val="0049265B"/>
    <w:rsid w:val="0049353F"/>
    <w:rsid w:val="00493CD4"/>
    <w:rsid w:val="00493DDA"/>
    <w:rsid w:val="004944FA"/>
    <w:rsid w:val="00494E18"/>
    <w:rsid w:val="00495B9A"/>
    <w:rsid w:val="00496D69"/>
    <w:rsid w:val="00496F66"/>
    <w:rsid w:val="0049783D"/>
    <w:rsid w:val="00497C6F"/>
    <w:rsid w:val="00497C9A"/>
    <w:rsid w:val="00497D58"/>
    <w:rsid w:val="00497E37"/>
    <w:rsid w:val="004A0704"/>
    <w:rsid w:val="004A08B7"/>
    <w:rsid w:val="004A0940"/>
    <w:rsid w:val="004A19C1"/>
    <w:rsid w:val="004A1EB3"/>
    <w:rsid w:val="004A232F"/>
    <w:rsid w:val="004A2DBA"/>
    <w:rsid w:val="004A3726"/>
    <w:rsid w:val="004A4B82"/>
    <w:rsid w:val="004A4FBF"/>
    <w:rsid w:val="004A4FD9"/>
    <w:rsid w:val="004A51CF"/>
    <w:rsid w:val="004A5918"/>
    <w:rsid w:val="004A5F67"/>
    <w:rsid w:val="004A69DD"/>
    <w:rsid w:val="004A7130"/>
    <w:rsid w:val="004A771F"/>
    <w:rsid w:val="004A7A86"/>
    <w:rsid w:val="004A7CB1"/>
    <w:rsid w:val="004B05BD"/>
    <w:rsid w:val="004B0AB8"/>
    <w:rsid w:val="004B10CE"/>
    <w:rsid w:val="004B1286"/>
    <w:rsid w:val="004B2179"/>
    <w:rsid w:val="004B2E0C"/>
    <w:rsid w:val="004B31D8"/>
    <w:rsid w:val="004B3615"/>
    <w:rsid w:val="004B363C"/>
    <w:rsid w:val="004B3ABC"/>
    <w:rsid w:val="004B3CAC"/>
    <w:rsid w:val="004B3DD4"/>
    <w:rsid w:val="004B40F0"/>
    <w:rsid w:val="004B46AC"/>
    <w:rsid w:val="004B58A6"/>
    <w:rsid w:val="004B5978"/>
    <w:rsid w:val="004B5F57"/>
    <w:rsid w:val="004B64BA"/>
    <w:rsid w:val="004B6825"/>
    <w:rsid w:val="004B7641"/>
    <w:rsid w:val="004B79A4"/>
    <w:rsid w:val="004B79D8"/>
    <w:rsid w:val="004B79E7"/>
    <w:rsid w:val="004C0C17"/>
    <w:rsid w:val="004C131B"/>
    <w:rsid w:val="004C1AA9"/>
    <w:rsid w:val="004C1D93"/>
    <w:rsid w:val="004C28BE"/>
    <w:rsid w:val="004C2C01"/>
    <w:rsid w:val="004C2C96"/>
    <w:rsid w:val="004C2FB4"/>
    <w:rsid w:val="004C3090"/>
    <w:rsid w:val="004C3238"/>
    <w:rsid w:val="004C330F"/>
    <w:rsid w:val="004C39ED"/>
    <w:rsid w:val="004C3E0E"/>
    <w:rsid w:val="004C40AA"/>
    <w:rsid w:val="004C41F3"/>
    <w:rsid w:val="004C50BB"/>
    <w:rsid w:val="004C5945"/>
    <w:rsid w:val="004C5D6D"/>
    <w:rsid w:val="004C7088"/>
    <w:rsid w:val="004C714A"/>
    <w:rsid w:val="004C7158"/>
    <w:rsid w:val="004C71D0"/>
    <w:rsid w:val="004C77A3"/>
    <w:rsid w:val="004C785A"/>
    <w:rsid w:val="004D01E7"/>
    <w:rsid w:val="004D06B5"/>
    <w:rsid w:val="004D0C1B"/>
    <w:rsid w:val="004D0D98"/>
    <w:rsid w:val="004D0FD2"/>
    <w:rsid w:val="004D10C5"/>
    <w:rsid w:val="004D1479"/>
    <w:rsid w:val="004D17AD"/>
    <w:rsid w:val="004D18D7"/>
    <w:rsid w:val="004D1C99"/>
    <w:rsid w:val="004D1FF8"/>
    <w:rsid w:val="004D20E3"/>
    <w:rsid w:val="004D20FF"/>
    <w:rsid w:val="004D2149"/>
    <w:rsid w:val="004D25C7"/>
    <w:rsid w:val="004D273D"/>
    <w:rsid w:val="004D27DF"/>
    <w:rsid w:val="004D32C2"/>
    <w:rsid w:val="004D37EF"/>
    <w:rsid w:val="004D3CF8"/>
    <w:rsid w:val="004D4709"/>
    <w:rsid w:val="004D499C"/>
    <w:rsid w:val="004D4FC2"/>
    <w:rsid w:val="004D5318"/>
    <w:rsid w:val="004D682B"/>
    <w:rsid w:val="004D6981"/>
    <w:rsid w:val="004D6A6D"/>
    <w:rsid w:val="004D6E31"/>
    <w:rsid w:val="004D6F4A"/>
    <w:rsid w:val="004D72BD"/>
    <w:rsid w:val="004D72E2"/>
    <w:rsid w:val="004D7488"/>
    <w:rsid w:val="004D7574"/>
    <w:rsid w:val="004D7586"/>
    <w:rsid w:val="004E00D8"/>
    <w:rsid w:val="004E03D0"/>
    <w:rsid w:val="004E09CD"/>
    <w:rsid w:val="004E0C01"/>
    <w:rsid w:val="004E247B"/>
    <w:rsid w:val="004E2A86"/>
    <w:rsid w:val="004E2F95"/>
    <w:rsid w:val="004E301A"/>
    <w:rsid w:val="004E3197"/>
    <w:rsid w:val="004E3ECA"/>
    <w:rsid w:val="004E3FF6"/>
    <w:rsid w:val="004E4B07"/>
    <w:rsid w:val="004E50D5"/>
    <w:rsid w:val="004E523C"/>
    <w:rsid w:val="004E596F"/>
    <w:rsid w:val="004E694A"/>
    <w:rsid w:val="004E6EB8"/>
    <w:rsid w:val="004E6EF8"/>
    <w:rsid w:val="004E6F6F"/>
    <w:rsid w:val="004E6FB2"/>
    <w:rsid w:val="004E729B"/>
    <w:rsid w:val="004E7D75"/>
    <w:rsid w:val="004E7E03"/>
    <w:rsid w:val="004E7E93"/>
    <w:rsid w:val="004F150C"/>
    <w:rsid w:val="004F19CE"/>
    <w:rsid w:val="004F253B"/>
    <w:rsid w:val="004F2BBD"/>
    <w:rsid w:val="004F2E43"/>
    <w:rsid w:val="004F2EA4"/>
    <w:rsid w:val="004F30AB"/>
    <w:rsid w:val="004F335E"/>
    <w:rsid w:val="004F3361"/>
    <w:rsid w:val="004F34E8"/>
    <w:rsid w:val="004F3862"/>
    <w:rsid w:val="004F4344"/>
    <w:rsid w:val="004F4B7E"/>
    <w:rsid w:val="004F4CA0"/>
    <w:rsid w:val="004F565D"/>
    <w:rsid w:val="004F5BEA"/>
    <w:rsid w:val="004F6225"/>
    <w:rsid w:val="004F6241"/>
    <w:rsid w:val="004F66AD"/>
    <w:rsid w:val="004F6B30"/>
    <w:rsid w:val="004F6EA1"/>
    <w:rsid w:val="004F7163"/>
    <w:rsid w:val="004F78F0"/>
    <w:rsid w:val="0050059F"/>
    <w:rsid w:val="00500D2E"/>
    <w:rsid w:val="00500FC0"/>
    <w:rsid w:val="005012FE"/>
    <w:rsid w:val="00501AAD"/>
    <w:rsid w:val="00501DEA"/>
    <w:rsid w:val="00501EAE"/>
    <w:rsid w:val="00502261"/>
    <w:rsid w:val="00502528"/>
    <w:rsid w:val="005028C0"/>
    <w:rsid w:val="00502E9A"/>
    <w:rsid w:val="00503B5E"/>
    <w:rsid w:val="00503D3E"/>
    <w:rsid w:val="00503DCC"/>
    <w:rsid w:val="00504055"/>
    <w:rsid w:val="0050504D"/>
    <w:rsid w:val="00506969"/>
    <w:rsid w:val="00507356"/>
    <w:rsid w:val="00507358"/>
    <w:rsid w:val="0050765A"/>
    <w:rsid w:val="0051043C"/>
    <w:rsid w:val="00511007"/>
    <w:rsid w:val="005114EB"/>
    <w:rsid w:val="005115FE"/>
    <w:rsid w:val="00511612"/>
    <w:rsid w:val="00511704"/>
    <w:rsid w:val="005117B6"/>
    <w:rsid w:val="00511954"/>
    <w:rsid w:val="00511D97"/>
    <w:rsid w:val="00511DD9"/>
    <w:rsid w:val="00511DDD"/>
    <w:rsid w:val="00512052"/>
    <w:rsid w:val="005124F2"/>
    <w:rsid w:val="005127D1"/>
    <w:rsid w:val="00512C65"/>
    <w:rsid w:val="00512D40"/>
    <w:rsid w:val="00512E51"/>
    <w:rsid w:val="00513099"/>
    <w:rsid w:val="005132D0"/>
    <w:rsid w:val="00513DE1"/>
    <w:rsid w:val="005147E6"/>
    <w:rsid w:val="005148D6"/>
    <w:rsid w:val="00514BBF"/>
    <w:rsid w:val="00515942"/>
    <w:rsid w:val="00515D16"/>
    <w:rsid w:val="00515F73"/>
    <w:rsid w:val="00516E57"/>
    <w:rsid w:val="00516F9A"/>
    <w:rsid w:val="005205F5"/>
    <w:rsid w:val="005208B9"/>
    <w:rsid w:val="00521A5C"/>
    <w:rsid w:val="00522057"/>
    <w:rsid w:val="005231AD"/>
    <w:rsid w:val="005232C9"/>
    <w:rsid w:val="00523409"/>
    <w:rsid w:val="0052417B"/>
    <w:rsid w:val="00524AEB"/>
    <w:rsid w:val="00524E9A"/>
    <w:rsid w:val="0052528E"/>
    <w:rsid w:val="00525639"/>
    <w:rsid w:val="005258F1"/>
    <w:rsid w:val="00525DFF"/>
    <w:rsid w:val="005267A7"/>
    <w:rsid w:val="005268FF"/>
    <w:rsid w:val="00526C21"/>
    <w:rsid w:val="005275F2"/>
    <w:rsid w:val="00527730"/>
    <w:rsid w:val="0052783B"/>
    <w:rsid w:val="00527A15"/>
    <w:rsid w:val="00527EFC"/>
    <w:rsid w:val="00530138"/>
    <w:rsid w:val="005302F9"/>
    <w:rsid w:val="0053034C"/>
    <w:rsid w:val="00530C9C"/>
    <w:rsid w:val="00531A95"/>
    <w:rsid w:val="00531F82"/>
    <w:rsid w:val="005325CA"/>
    <w:rsid w:val="005327E1"/>
    <w:rsid w:val="0053319E"/>
    <w:rsid w:val="00533C59"/>
    <w:rsid w:val="00533D02"/>
    <w:rsid w:val="00533E2D"/>
    <w:rsid w:val="0053453B"/>
    <w:rsid w:val="00535313"/>
    <w:rsid w:val="005355F5"/>
    <w:rsid w:val="00536353"/>
    <w:rsid w:val="005363F6"/>
    <w:rsid w:val="00536884"/>
    <w:rsid w:val="00536F01"/>
    <w:rsid w:val="00540159"/>
    <w:rsid w:val="00540904"/>
    <w:rsid w:val="00541661"/>
    <w:rsid w:val="005424AB"/>
    <w:rsid w:val="00542E37"/>
    <w:rsid w:val="00543331"/>
    <w:rsid w:val="005435EC"/>
    <w:rsid w:val="00543D79"/>
    <w:rsid w:val="0054470E"/>
    <w:rsid w:val="00545107"/>
    <w:rsid w:val="00545454"/>
    <w:rsid w:val="00545522"/>
    <w:rsid w:val="00545C36"/>
    <w:rsid w:val="005462E5"/>
    <w:rsid w:val="00546381"/>
    <w:rsid w:val="00546FC2"/>
    <w:rsid w:val="0054730E"/>
    <w:rsid w:val="0054765E"/>
    <w:rsid w:val="00547A9F"/>
    <w:rsid w:val="00550184"/>
    <w:rsid w:val="005501DE"/>
    <w:rsid w:val="005504FE"/>
    <w:rsid w:val="00550708"/>
    <w:rsid w:val="005513E6"/>
    <w:rsid w:val="005515F7"/>
    <w:rsid w:val="0055163B"/>
    <w:rsid w:val="0055167D"/>
    <w:rsid w:val="00551B49"/>
    <w:rsid w:val="005525D2"/>
    <w:rsid w:val="005526A3"/>
    <w:rsid w:val="0055314B"/>
    <w:rsid w:val="0055407C"/>
    <w:rsid w:val="00555554"/>
    <w:rsid w:val="00555842"/>
    <w:rsid w:val="00555D81"/>
    <w:rsid w:val="00556466"/>
    <w:rsid w:val="005566AC"/>
    <w:rsid w:val="005567F7"/>
    <w:rsid w:val="00556EC2"/>
    <w:rsid w:val="005577EB"/>
    <w:rsid w:val="00557CA8"/>
    <w:rsid w:val="00557D5E"/>
    <w:rsid w:val="00560478"/>
    <w:rsid w:val="00560852"/>
    <w:rsid w:val="005609FB"/>
    <w:rsid w:val="00560C05"/>
    <w:rsid w:val="005615EB"/>
    <w:rsid w:val="00561C5F"/>
    <w:rsid w:val="00562263"/>
    <w:rsid w:val="0056228F"/>
    <w:rsid w:val="0056229F"/>
    <w:rsid w:val="005625C9"/>
    <w:rsid w:val="00562B23"/>
    <w:rsid w:val="00562CCE"/>
    <w:rsid w:val="005635CE"/>
    <w:rsid w:val="00563B09"/>
    <w:rsid w:val="00563DC5"/>
    <w:rsid w:val="005646E6"/>
    <w:rsid w:val="00565091"/>
    <w:rsid w:val="0056529C"/>
    <w:rsid w:val="00565A02"/>
    <w:rsid w:val="00565DA9"/>
    <w:rsid w:val="00565E7B"/>
    <w:rsid w:val="00566777"/>
    <w:rsid w:val="005673BD"/>
    <w:rsid w:val="005679C5"/>
    <w:rsid w:val="00567ACA"/>
    <w:rsid w:val="005701A9"/>
    <w:rsid w:val="00570892"/>
    <w:rsid w:val="005708EB"/>
    <w:rsid w:val="00570F56"/>
    <w:rsid w:val="005715A7"/>
    <w:rsid w:val="00571E46"/>
    <w:rsid w:val="005720E4"/>
    <w:rsid w:val="005721DD"/>
    <w:rsid w:val="005726A9"/>
    <w:rsid w:val="0057270E"/>
    <w:rsid w:val="00572976"/>
    <w:rsid w:val="00572ACD"/>
    <w:rsid w:val="00573BD6"/>
    <w:rsid w:val="00573EA1"/>
    <w:rsid w:val="005748EA"/>
    <w:rsid w:val="00574C52"/>
    <w:rsid w:val="00576204"/>
    <w:rsid w:val="005765DB"/>
    <w:rsid w:val="005766D5"/>
    <w:rsid w:val="00576F23"/>
    <w:rsid w:val="0057713A"/>
    <w:rsid w:val="00577581"/>
    <w:rsid w:val="00577590"/>
    <w:rsid w:val="0058026C"/>
    <w:rsid w:val="005807C1"/>
    <w:rsid w:val="005809A7"/>
    <w:rsid w:val="00580D9A"/>
    <w:rsid w:val="00580DBD"/>
    <w:rsid w:val="00581ECA"/>
    <w:rsid w:val="00581FCE"/>
    <w:rsid w:val="00582058"/>
    <w:rsid w:val="00582344"/>
    <w:rsid w:val="00582ABC"/>
    <w:rsid w:val="0058307D"/>
    <w:rsid w:val="00583356"/>
    <w:rsid w:val="005833A4"/>
    <w:rsid w:val="00583AB8"/>
    <w:rsid w:val="00583DEF"/>
    <w:rsid w:val="00583E15"/>
    <w:rsid w:val="00584208"/>
    <w:rsid w:val="005843BF"/>
    <w:rsid w:val="0058478C"/>
    <w:rsid w:val="00584E79"/>
    <w:rsid w:val="005855A1"/>
    <w:rsid w:val="00587358"/>
    <w:rsid w:val="0059025B"/>
    <w:rsid w:val="005907B1"/>
    <w:rsid w:val="00590F90"/>
    <w:rsid w:val="0059135A"/>
    <w:rsid w:val="00591616"/>
    <w:rsid w:val="00591BF8"/>
    <w:rsid w:val="00591EE7"/>
    <w:rsid w:val="005924F2"/>
    <w:rsid w:val="00592EFE"/>
    <w:rsid w:val="00593F92"/>
    <w:rsid w:val="00594204"/>
    <w:rsid w:val="00594414"/>
    <w:rsid w:val="005945DD"/>
    <w:rsid w:val="005948FE"/>
    <w:rsid w:val="00594929"/>
    <w:rsid w:val="00594C45"/>
    <w:rsid w:val="0059556A"/>
    <w:rsid w:val="00595DA8"/>
    <w:rsid w:val="00595F2D"/>
    <w:rsid w:val="00596355"/>
    <w:rsid w:val="00596928"/>
    <w:rsid w:val="005969A5"/>
    <w:rsid w:val="00596DB6"/>
    <w:rsid w:val="00596DCD"/>
    <w:rsid w:val="00596E55"/>
    <w:rsid w:val="00596F4F"/>
    <w:rsid w:val="0059725F"/>
    <w:rsid w:val="00597D6E"/>
    <w:rsid w:val="005A0251"/>
    <w:rsid w:val="005A0526"/>
    <w:rsid w:val="005A16EC"/>
    <w:rsid w:val="005A183B"/>
    <w:rsid w:val="005A23AE"/>
    <w:rsid w:val="005A2BB9"/>
    <w:rsid w:val="005A379D"/>
    <w:rsid w:val="005A3C1B"/>
    <w:rsid w:val="005A416B"/>
    <w:rsid w:val="005A5408"/>
    <w:rsid w:val="005A5897"/>
    <w:rsid w:val="005A692A"/>
    <w:rsid w:val="005A6ECA"/>
    <w:rsid w:val="005A7197"/>
    <w:rsid w:val="005A7794"/>
    <w:rsid w:val="005A7B66"/>
    <w:rsid w:val="005B0D41"/>
    <w:rsid w:val="005B151E"/>
    <w:rsid w:val="005B191B"/>
    <w:rsid w:val="005B19DE"/>
    <w:rsid w:val="005B1C59"/>
    <w:rsid w:val="005B1CC5"/>
    <w:rsid w:val="005B1EB6"/>
    <w:rsid w:val="005B2493"/>
    <w:rsid w:val="005B2F71"/>
    <w:rsid w:val="005B3B70"/>
    <w:rsid w:val="005B3BD8"/>
    <w:rsid w:val="005B44CC"/>
    <w:rsid w:val="005B4576"/>
    <w:rsid w:val="005B45A9"/>
    <w:rsid w:val="005B470E"/>
    <w:rsid w:val="005B4B0E"/>
    <w:rsid w:val="005B50F5"/>
    <w:rsid w:val="005B5D05"/>
    <w:rsid w:val="005B6407"/>
    <w:rsid w:val="005B6C47"/>
    <w:rsid w:val="005B7323"/>
    <w:rsid w:val="005B7895"/>
    <w:rsid w:val="005C0273"/>
    <w:rsid w:val="005C05AE"/>
    <w:rsid w:val="005C07E9"/>
    <w:rsid w:val="005C2059"/>
    <w:rsid w:val="005C25F4"/>
    <w:rsid w:val="005C26C0"/>
    <w:rsid w:val="005C2B60"/>
    <w:rsid w:val="005C2C79"/>
    <w:rsid w:val="005C36D8"/>
    <w:rsid w:val="005C3FFF"/>
    <w:rsid w:val="005C49B4"/>
    <w:rsid w:val="005C4C0A"/>
    <w:rsid w:val="005C4D21"/>
    <w:rsid w:val="005C4DA4"/>
    <w:rsid w:val="005C504B"/>
    <w:rsid w:val="005C5660"/>
    <w:rsid w:val="005C56DF"/>
    <w:rsid w:val="005C58EA"/>
    <w:rsid w:val="005C5A82"/>
    <w:rsid w:val="005C5D22"/>
    <w:rsid w:val="005C5E05"/>
    <w:rsid w:val="005C5ECC"/>
    <w:rsid w:val="005C6988"/>
    <w:rsid w:val="005C746E"/>
    <w:rsid w:val="005C76BA"/>
    <w:rsid w:val="005C79A2"/>
    <w:rsid w:val="005D0095"/>
    <w:rsid w:val="005D0258"/>
    <w:rsid w:val="005D05FA"/>
    <w:rsid w:val="005D08D6"/>
    <w:rsid w:val="005D0AE5"/>
    <w:rsid w:val="005D0AF3"/>
    <w:rsid w:val="005D1C1A"/>
    <w:rsid w:val="005D2846"/>
    <w:rsid w:val="005D336C"/>
    <w:rsid w:val="005D3A1A"/>
    <w:rsid w:val="005D4131"/>
    <w:rsid w:val="005D4BB8"/>
    <w:rsid w:val="005D58F9"/>
    <w:rsid w:val="005D6FF7"/>
    <w:rsid w:val="005D7B92"/>
    <w:rsid w:val="005D7D50"/>
    <w:rsid w:val="005E04C2"/>
    <w:rsid w:val="005E0607"/>
    <w:rsid w:val="005E0FCC"/>
    <w:rsid w:val="005E1365"/>
    <w:rsid w:val="005E1718"/>
    <w:rsid w:val="005E198B"/>
    <w:rsid w:val="005E2377"/>
    <w:rsid w:val="005E25C5"/>
    <w:rsid w:val="005E2C3B"/>
    <w:rsid w:val="005E2F16"/>
    <w:rsid w:val="005E2FC0"/>
    <w:rsid w:val="005E30CC"/>
    <w:rsid w:val="005E3342"/>
    <w:rsid w:val="005E3393"/>
    <w:rsid w:val="005E34D6"/>
    <w:rsid w:val="005E38DE"/>
    <w:rsid w:val="005E393C"/>
    <w:rsid w:val="005E4386"/>
    <w:rsid w:val="005E4B3A"/>
    <w:rsid w:val="005E4D26"/>
    <w:rsid w:val="005E4D60"/>
    <w:rsid w:val="005E6931"/>
    <w:rsid w:val="005E6D6F"/>
    <w:rsid w:val="005E7203"/>
    <w:rsid w:val="005E7685"/>
    <w:rsid w:val="005E7828"/>
    <w:rsid w:val="005F0994"/>
    <w:rsid w:val="005F109D"/>
    <w:rsid w:val="005F14B5"/>
    <w:rsid w:val="005F1C70"/>
    <w:rsid w:val="005F2117"/>
    <w:rsid w:val="005F29EA"/>
    <w:rsid w:val="005F2B42"/>
    <w:rsid w:val="005F3199"/>
    <w:rsid w:val="005F324D"/>
    <w:rsid w:val="005F3652"/>
    <w:rsid w:val="005F36BF"/>
    <w:rsid w:val="005F3A0D"/>
    <w:rsid w:val="005F3A67"/>
    <w:rsid w:val="005F3F66"/>
    <w:rsid w:val="005F4940"/>
    <w:rsid w:val="005F4E9A"/>
    <w:rsid w:val="005F4FBB"/>
    <w:rsid w:val="005F516C"/>
    <w:rsid w:val="005F57FF"/>
    <w:rsid w:val="005F5A0D"/>
    <w:rsid w:val="005F6744"/>
    <w:rsid w:val="005F6C58"/>
    <w:rsid w:val="005F720E"/>
    <w:rsid w:val="005F7603"/>
    <w:rsid w:val="0060063C"/>
    <w:rsid w:val="0060070A"/>
    <w:rsid w:val="006011A4"/>
    <w:rsid w:val="006014E3"/>
    <w:rsid w:val="006015BE"/>
    <w:rsid w:val="00601709"/>
    <w:rsid w:val="006019CC"/>
    <w:rsid w:val="00601A45"/>
    <w:rsid w:val="006023BF"/>
    <w:rsid w:val="00602577"/>
    <w:rsid w:val="006025BC"/>
    <w:rsid w:val="0060274A"/>
    <w:rsid w:val="00602A7D"/>
    <w:rsid w:val="00602F66"/>
    <w:rsid w:val="00603176"/>
    <w:rsid w:val="00603253"/>
    <w:rsid w:val="00603F9E"/>
    <w:rsid w:val="0060433F"/>
    <w:rsid w:val="0060468C"/>
    <w:rsid w:val="006048B5"/>
    <w:rsid w:val="00604E08"/>
    <w:rsid w:val="006058EE"/>
    <w:rsid w:val="00605E02"/>
    <w:rsid w:val="006066E4"/>
    <w:rsid w:val="00606BC7"/>
    <w:rsid w:val="00606E5B"/>
    <w:rsid w:val="006070BF"/>
    <w:rsid w:val="006072E5"/>
    <w:rsid w:val="006077DA"/>
    <w:rsid w:val="00607986"/>
    <w:rsid w:val="006079BD"/>
    <w:rsid w:val="00607CAE"/>
    <w:rsid w:val="00607E0C"/>
    <w:rsid w:val="00607FFA"/>
    <w:rsid w:val="00610A53"/>
    <w:rsid w:val="00610C3A"/>
    <w:rsid w:val="00610CD1"/>
    <w:rsid w:val="00610DCD"/>
    <w:rsid w:val="0061103A"/>
    <w:rsid w:val="006116F3"/>
    <w:rsid w:val="00611E55"/>
    <w:rsid w:val="00611FEB"/>
    <w:rsid w:val="0061252E"/>
    <w:rsid w:val="0061302C"/>
    <w:rsid w:val="0061352C"/>
    <w:rsid w:val="00613F43"/>
    <w:rsid w:val="00614327"/>
    <w:rsid w:val="00614B92"/>
    <w:rsid w:val="006150B3"/>
    <w:rsid w:val="00615179"/>
    <w:rsid w:val="00615361"/>
    <w:rsid w:val="00615716"/>
    <w:rsid w:val="00615818"/>
    <w:rsid w:val="006159F9"/>
    <w:rsid w:val="00615BCD"/>
    <w:rsid w:val="00615C3D"/>
    <w:rsid w:val="00615EAF"/>
    <w:rsid w:val="00615FBD"/>
    <w:rsid w:val="00616A3E"/>
    <w:rsid w:val="00616CC6"/>
    <w:rsid w:val="006176D9"/>
    <w:rsid w:val="00617894"/>
    <w:rsid w:val="00617F67"/>
    <w:rsid w:val="00617FCC"/>
    <w:rsid w:val="0062066E"/>
    <w:rsid w:val="00620AFF"/>
    <w:rsid w:val="00620DF1"/>
    <w:rsid w:val="0062125B"/>
    <w:rsid w:val="00622088"/>
    <w:rsid w:val="00623468"/>
    <w:rsid w:val="006235F2"/>
    <w:rsid w:val="006236B5"/>
    <w:rsid w:val="006237C5"/>
    <w:rsid w:val="00623AFB"/>
    <w:rsid w:val="00623B14"/>
    <w:rsid w:val="00624A0B"/>
    <w:rsid w:val="00624AA6"/>
    <w:rsid w:val="00625185"/>
    <w:rsid w:val="006252B7"/>
    <w:rsid w:val="0062579B"/>
    <w:rsid w:val="00625E79"/>
    <w:rsid w:val="00625F08"/>
    <w:rsid w:val="006264FC"/>
    <w:rsid w:val="0062657B"/>
    <w:rsid w:val="00626B0F"/>
    <w:rsid w:val="00626FD1"/>
    <w:rsid w:val="0063001E"/>
    <w:rsid w:val="00630444"/>
    <w:rsid w:val="00630D8D"/>
    <w:rsid w:val="006325C0"/>
    <w:rsid w:val="00633331"/>
    <w:rsid w:val="00633370"/>
    <w:rsid w:val="00633774"/>
    <w:rsid w:val="00633F39"/>
    <w:rsid w:val="006340CA"/>
    <w:rsid w:val="006344FC"/>
    <w:rsid w:val="006346F7"/>
    <w:rsid w:val="00634710"/>
    <w:rsid w:val="0063492C"/>
    <w:rsid w:val="00634C89"/>
    <w:rsid w:val="00634F72"/>
    <w:rsid w:val="00635290"/>
    <w:rsid w:val="00635553"/>
    <w:rsid w:val="006356FC"/>
    <w:rsid w:val="006359AC"/>
    <w:rsid w:val="00635E6D"/>
    <w:rsid w:val="0063641B"/>
    <w:rsid w:val="00637507"/>
    <w:rsid w:val="00637BD8"/>
    <w:rsid w:val="00637C61"/>
    <w:rsid w:val="00640AB4"/>
    <w:rsid w:val="00640C9A"/>
    <w:rsid w:val="006411BF"/>
    <w:rsid w:val="0064182F"/>
    <w:rsid w:val="00641C9E"/>
    <w:rsid w:val="0064222A"/>
    <w:rsid w:val="00642415"/>
    <w:rsid w:val="00642F99"/>
    <w:rsid w:val="00643284"/>
    <w:rsid w:val="00643B84"/>
    <w:rsid w:val="00644384"/>
    <w:rsid w:val="00645138"/>
    <w:rsid w:val="00645B69"/>
    <w:rsid w:val="00646488"/>
    <w:rsid w:val="006472B4"/>
    <w:rsid w:val="006473FA"/>
    <w:rsid w:val="00647BCE"/>
    <w:rsid w:val="006507E2"/>
    <w:rsid w:val="006515C5"/>
    <w:rsid w:val="006517B9"/>
    <w:rsid w:val="00651C61"/>
    <w:rsid w:val="00651F62"/>
    <w:rsid w:val="00652425"/>
    <w:rsid w:val="00652AA7"/>
    <w:rsid w:val="00652BC9"/>
    <w:rsid w:val="00652D15"/>
    <w:rsid w:val="0065313F"/>
    <w:rsid w:val="00653407"/>
    <w:rsid w:val="006534CE"/>
    <w:rsid w:val="00653B3F"/>
    <w:rsid w:val="00653C82"/>
    <w:rsid w:val="006541D2"/>
    <w:rsid w:val="006542D1"/>
    <w:rsid w:val="006545F4"/>
    <w:rsid w:val="006546D2"/>
    <w:rsid w:val="00654B67"/>
    <w:rsid w:val="00654B71"/>
    <w:rsid w:val="00654CC2"/>
    <w:rsid w:val="0065566E"/>
    <w:rsid w:val="00655EEF"/>
    <w:rsid w:val="00656B0C"/>
    <w:rsid w:val="006571D1"/>
    <w:rsid w:val="0065793C"/>
    <w:rsid w:val="00660489"/>
    <w:rsid w:val="00660C53"/>
    <w:rsid w:val="00660D47"/>
    <w:rsid w:val="00660EEC"/>
    <w:rsid w:val="00660F3E"/>
    <w:rsid w:val="00660FD2"/>
    <w:rsid w:val="00661BB0"/>
    <w:rsid w:val="006622BD"/>
    <w:rsid w:val="006622FC"/>
    <w:rsid w:val="00662414"/>
    <w:rsid w:val="0066319C"/>
    <w:rsid w:val="00664557"/>
    <w:rsid w:val="00665ADF"/>
    <w:rsid w:val="00665DA0"/>
    <w:rsid w:val="006661A5"/>
    <w:rsid w:val="00667052"/>
    <w:rsid w:val="00667795"/>
    <w:rsid w:val="0067023A"/>
    <w:rsid w:val="00670459"/>
    <w:rsid w:val="00670C5E"/>
    <w:rsid w:val="00671310"/>
    <w:rsid w:val="00671622"/>
    <w:rsid w:val="00672EC5"/>
    <w:rsid w:val="00673515"/>
    <w:rsid w:val="00673B38"/>
    <w:rsid w:val="00674F5B"/>
    <w:rsid w:val="00674F5C"/>
    <w:rsid w:val="00675050"/>
    <w:rsid w:val="00675362"/>
    <w:rsid w:val="006754AD"/>
    <w:rsid w:val="00675BA5"/>
    <w:rsid w:val="00675DE6"/>
    <w:rsid w:val="00676ED4"/>
    <w:rsid w:val="00676FFD"/>
    <w:rsid w:val="0067763A"/>
    <w:rsid w:val="00680490"/>
    <w:rsid w:val="006806E0"/>
    <w:rsid w:val="00680E9E"/>
    <w:rsid w:val="0068165A"/>
    <w:rsid w:val="006823FE"/>
    <w:rsid w:val="00682CCD"/>
    <w:rsid w:val="00683D27"/>
    <w:rsid w:val="00684705"/>
    <w:rsid w:val="006847DE"/>
    <w:rsid w:val="006848DF"/>
    <w:rsid w:val="00684992"/>
    <w:rsid w:val="00684B1A"/>
    <w:rsid w:val="00684EF5"/>
    <w:rsid w:val="00685634"/>
    <w:rsid w:val="00686400"/>
    <w:rsid w:val="006876DB"/>
    <w:rsid w:val="00687D2D"/>
    <w:rsid w:val="00687EA4"/>
    <w:rsid w:val="00690120"/>
    <w:rsid w:val="006901D7"/>
    <w:rsid w:val="006903B3"/>
    <w:rsid w:val="00690BC4"/>
    <w:rsid w:val="00690D2E"/>
    <w:rsid w:val="0069137B"/>
    <w:rsid w:val="00691425"/>
    <w:rsid w:val="00691966"/>
    <w:rsid w:val="00691D8D"/>
    <w:rsid w:val="006923F1"/>
    <w:rsid w:val="0069296C"/>
    <w:rsid w:val="00692A8A"/>
    <w:rsid w:val="006932E2"/>
    <w:rsid w:val="00693ABA"/>
    <w:rsid w:val="00693B74"/>
    <w:rsid w:val="00694356"/>
    <w:rsid w:val="006944C8"/>
    <w:rsid w:val="00694548"/>
    <w:rsid w:val="006945BE"/>
    <w:rsid w:val="006947A1"/>
    <w:rsid w:val="00696206"/>
    <w:rsid w:val="0069642B"/>
    <w:rsid w:val="00696BF8"/>
    <w:rsid w:val="006970A0"/>
    <w:rsid w:val="00697CA7"/>
    <w:rsid w:val="00697F80"/>
    <w:rsid w:val="006A0474"/>
    <w:rsid w:val="006A07C7"/>
    <w:rsid w:val="006A0920"/>
    <w:rsid w:val="006A0925"/>
    <w:rsid w:val="006A0EA1"/>
    <w:rsid w:val="006A18B6"/>
    <w:rsid w:val="006A19C8"/>
    <w:rsid w:val="006A2391"/>
    <w:rsid w:val="006A352E"/>
    <w:rsid w:val="006A3668"/>
    <w:rsid w:val="006A401C"/>
    <w:rsid w:val="006A4280"/>
    <w:rsid w:val="006A4D11"/>
    <w:rsid w:val="006A5005"/>
    <w:rsid w:val="006A522A"/>
    <w:rsid w:val="006A63D8"/>
    <w:rsid w:val="006A6D04"/>
    <w:rsid w:val="006A76E4"/>
    <w:rsid w:val="006A78E9"/>
    <w:rsid w:val="006A7907"/>
    <w:rsid w:val="006A7B00"/>
    <w:rsid w:val="006B022A"/>
    <w:rsid w:val="006B056F"/>
    <w:rsid w:val="006B0AE7"/>
    <w:rsid w:val="006B0B5F"/>
    <w:rsid w:val="006B0DD3"/>
    <w:rsid w:val="006B11A0"/>
    <w:rsid w:val="006B16CD"/>
    <w:rsid w:val="006B204A"/>
    <w:rsid w:val="006B25EB"/>
    <w:rsid w:val="006B273F"/>
    <w:rsid w:val="006B2ADF"/>
    <w:rsid w:val="006B33D8"/>
    <w:rsid w:val="006B36B8"/>
    <w:rsid w:val="006B376B"/>
    <w:rsid w:val="006B37D7"/>
    <w:rsid w:val="006B408F"/>
    <w:rsid w:val="006B5555"/>
    <w:rsid w:val="006B57EF"/>
    <w:rsid w:val="006B5917"/>
    <w:rsid w:val="006B5C5B"/>
    <w:rsid w:val="006B6499"/>
    <w:rsid w:val="006B70DB"/>
    <w:rsid w:val="006C0057"/>
    <w:rsid w:val="006C0299"/>
    <w:rsid w:val="006C1719"/>
    <w:rsid w:val="006C1C63"/>
    <w:rsid w:val="006C205B"/>
    <w:rsid w:val="006C20BB"/>
    <w:rsid w:val="006C2AF8"/>
    <w:rsid w:val="006C2DC4"/>
    <w:rsid w:val="006C2DF3"/>
    <w:rsid w:val="006C2E50"/>
    <w:rsid w:val="006C3DC5"/>
    <w:rsid w:val="006C410A"/>
    <w:rsid w:val="006C438B"/>
    <w:rsid w:val="006C4724"/>
    <w:rsid w:val="006C4817"/>
    <w:rsid w:val="006C4C64"/>
    <w:rsid w:val="006C5E87"/>
    <w:rsid w:val="006C63BC"/>
    <w:rsid w:val="006C6441"/>
    <w:rsid w:val="006C686D"/>
    <w:rsid w:val="006C68AB"/>
    <w:rsid w:val="006C68E7"/>
    <w:rsid w:val="006C6F09"/>
    <w:rsid w:val="006C73A1"/>
    <w:rsid w:val="006C73FD"/>
    <w:rsid w:val="006C7507"/>
    <w:rsid w:val="006C7A9C"/>
    <w:rsid w:val="006C7D29"/>
    <w:rsid w:val="006C7E09"/>
    <w:rsid w:val="006D14B8"/>
    <w:rsid w:val="006D1DB1"/>
    <w:rsid w:val="006D1FAB"/>
    <w:rsid w:val="006D28D1"/>
    <w:rsid w:val="006D2BA0"/>
    <w:rsid w:val="006D2C7B"/>
    <w:rsid w:val="006D2D87"/>
    <w:rsid w:val="006D2EF0"/>
    <w:rsid w:val="006D3517"/>
    <w:rsid w:val="006D4575"/>
    <w:rsid w:val="006D4700"/>
    <w:rsid w:val="006D4A7D"/>
    <w:rsid w:val="006D4BFF"/>
    <w:rsid w:val="006D50B6"/>
    <w:rsid w:val="006D5AA1"/>
    <w:rsid w:val="006D5ED5"/>
    <w:rsid w:val="006D70A8"/>
    <w:rsid w:val="006D71F6"/>
    <w:rsid w:val="006D7237"/>
    <w:rsid w:val="006D74F1"/>
    <w:rsid w:val="006D79E5"/>
    <w:rsid w:val="006D7BCF"/>
    <w:rsid w:val="006E00C3"/>
    <w:rsid w:val="006E0174"/>
    <w:rsid w:val="006E02BE"/>
    <w:rsid w:val="006E1491"/>
    <w:rsid w:val="006E1680"/>
    <w:rsid w:val="006E1F7E"/>
    <w:rsid w:val="006E254F"/>
    <w:rsid w:val="006E275F"/>
    <w:rsid w:val="006E2D7F"/>
    <w:rsid w:val="006E3081"/>
    <w:rsid w:val="006E326F"/>
    <w:rsid w:val="006E3405"/>
    <w:rsid w:val="006E42E7"/>
    <w:rsid w:val="006E5244"/>
    <w:rsid w:val="006E575B"/>
    <w:rsid w:val="006E5C2B"/>
    <w:rsid w:val="006E775B"/>
    <w:rsid w:val="006E7DD6"/>
    <w:rsid w:val="006F0542"/>
    <w:rsid w:val="006F0BE0"/>
    <w:rsid w:val="006F152E"/>
    <w:rsid w:val="006F17FF"/>
    <w:rsid w:val="006F1AAB"/>
    <w:rsid w:val="006F1E12"/>
    <w:rsid w:val="006F23B7"/>
    <w:rsid w:val="006F241B"/>
    <w:rsid w:val="006F259F"/>
    <w:rsid w:val="006F25F9"/>
    <w:rsid w:val="006F27B1"/>
    <w:rsid w:val="006F2915"/>
    <w:rsid w:val="006F2C65"/>
    <w:rsid w:val="006F2CF9"/>
    <w:rsid w:val="006F2E3E"/>
    <w:rsid w:val="006F3946"/>
    <w:rsid w:val="006F3958"/>
    <w:rsid w:val="006F3ECC"/>
    <w:rsid w:val="006F40F2"/>
    <w:rsid w:val="006F4286"/>
    <w:rsid w:val="006F45C2"/>
    <w:rsid w:val="006F4882"/>
    <w:rsid w:val="006F52AB"/>
    <w:rsid w:val="006F53C3"/>
    <w:rsid w:val="006F594B"/>
    <w:rsid w:val="006F5C02"/>
    <w:rsid w:val="006F5CFC"/>
    <w:rsid w:val="006F6216"/>
    <w:rsid w:val="006F6ADF"/>
    <w:rsid w:val="006F775C"/>
    <w:rsid w:val="006F7B67"/>
    <w:rsid w:val="006F7D09"/>
    <w:rsid w:val="007001D4"/>
    <w:rsid w:val="0070033A"/>
    <w:rsid w:val="007004B4"/>
    <w:rsid w:val="007008F3"/>
    <w:rsid w:val="00700947"/>
    <w:rsid w:val="00700C6A"/>
    <w:rsid w:val="00700D2C"/>
    <w:rsid w:val="00700F47"/>
    <w:rsid w:val="00701096"/>
    <w:rsid w:val="007010E7"/>
    <w:rsid w:val="0070138F"/>
    <w:rsid w:val="0070147A"/>
    <w:rsid w:val="00701CC0"/>
    <w:rsid w:val="007024B8"/>
    <w:rsid w:val="00703CA9"/>
    <w:rsid w:val="00703EF0"/>
    <w:rsid w:val="00704D16"/>
    <w:rsid w:val="00705090"/>
    <w:rsid w:val="0070513A"/>
    <w:rsid w:val="007066D7"/>
    <w:rsid w:val="00706AA5"/>
    <w:rsid w:val="00706BA4"/>
    <w:rsid w:val="007073C9"/>
    <w:rsid w:val="00707EA8"/>
    <w:rsid w:val="0071071C"/>
    <w:rsid w:val="00711BD1"/>
    <w:rsid w:val="00711DF3"/>
    <w:rsid w:val="00712370"/>
    <w:rsid w:val="00712665"/>
    <w:rsid w:val="00712BE5"/>
    <w:rsid w:val="007131F0"/>
    <w:rsid w:val="0071395B"/>
    <w:rsid w:val="00714877"/>
    <w:rsid w:val="00714E79"/>
    <w:rsid w:val="00715E0A"/>
    <w:rsid w:val="007161BA"/>
    <w:rsid w:val="007169AB"/>
    <w:rsid w:val="00716BAF"/>
    <w:rsid w:val="0071714D"/>
    <w:rsid w:val="007173D2"/>
    <w:rsid w:val="00717492"/>
    <w:rsid w:val="00717C9E"/>
    <w:rsid w:val="00717E8E"/>
    <w:rsid w:val="00720131"/>
    <w:rsid w:val="0072029D"/>
    <w:rsid w:val="007208A3"/>
    <w:rsid w:val="00720C6C"/>
    <w:rsid w:val="0072145C"/>
    <w:rsid w:val="007217E9"/>
    <w:rsid w:val="00721EC1"/>
    <w:rsid w:val="00721F00"/>
    <w:rsid w:val="007221D3"/>
    <w:rsid w:val="0072232A"/>
    <w:rsid w:val="00722373"/>
    <w:rsid w:val="007223C4"/>
    <w:rsid w:val="00722600"/>
    <w:rsid w:val="007234E6"/>
    <w:rsid w:val="007239BB"/>
    <w:rsid w:val="00723DEC"/>
    <w:rsid w:val="00724180"/>
    <w:rsid w:val="00724A7F"/>
    <w:rsid w:val="00725416"/>
    <w:rsid w:val="00726072"/>
    <w:rsid w:val="007262FE"/>
    <w:rsid w:val="007269A5"/>
    <w:rsid w:val="007269D9"/>
    <w:rsid w:val="00726DC0"/>
    <w:rsid w:val="00726FE3"/>
    <w:rsid w:val="0072799A"/>
    <w:rsid w:val="00727A03"/>
    <w:rsid w:val="00727A59"/>
    <w:rsid w:val="00730922"/>
    <w:rsid w:val="00731702"/>
    <w:rsid w:val="00731FC0"/>
    <w:rsid w:val="00732430"/>
    <w:rsid w:val="007336EF"/>
    <w:rsid w:val="00733F53"/>
    <w:rsid w:val="00734998"/>
    <w:rsid w:val="0073552C"/>
    <w:rsid w:val="00736409"/>
    <w:rsid w:val="0073661E"/>
    <w:rsid w:val="00736BAB"/>
    <w:rsid w:val="00737ECE"/>
    <w:rsid w:val="00737F6E"/>
    <w:rsid w:val="0074028D"/>
    <w:rsid w:val="007405DD"/>
    <w:rsid w:val="00740CC0"/>
    <w:rsid w:val="007414BF"/>
    <w:rsid w:val="00741751"/>
    <w:rsid w:val="00741996"/>
    <w:rsid w:val="00742018"/>
    <w:rsid w:val="007426AB"/>
    <w:rsid w:val="0074282D"/>
    <w:rsid w:val="00742D40"/>
    <w:rsid w:val="00742F1F"/>
    <w:rsid w:val="0074326F"/>
    <w:rsid w:val="00743808"/>
    <w:rsid w:val="00743AB1"/>
    <w:rsid w:val="00743C36"/>
    <w:rsid w:val="00743D59"/>
    <w:rsid w:val="00744089"/>
    <w:rsid w:val="00744706"/>
    <w:rsid w:val="00745072"/>
    <w:rsid w:val="00745184"/>
    <w:rsid w:val="00745294"/>
    <w:rsid w:val="00745C9A"/>
    <w:rsid w:val="0074679F"/>
    <w:rsid w:val="00746AB1"/>
    <w:rsid w:val="00746F79"/>
    <w:rsid w:val="0074701E"/>
    <w:rsid w:val="0074777E"/>
    <w:rsid w:val="00747870"/>
    <w:rsid w:val="007479BC"/>
    <w:rsid w:val="00747A9E"/>
    <w:rsid w:val="00747AF8"/>
    <w:rsid w:val="00747BC9"/>
    <w:rsid w:val="0075034E"/>
    <w:rsid w:val="007503B3"/>
    <w:rsid w:val="007509BB"/>
    <w:rsid w:val="00750AD4"/>
    <w:rsid w:val="00750FDD"/>
    <w:rsid w:val="00751A98"/>
    <w:rsid w:val="00751ADA"/>
    <w:rsid w:val="00751C27"/>
    <w:rsid w:val="00751DCC"/>
    <w:rsid w:val="0075247E"/>
    <w:rsid w:val="007527E0"/>
    <w:rsid w:val="00753D73"/>
    <w:rsid w:val="00754188"/>
    <w:rsid w:val="0075419D"/>
    <w:rsid w:val="0075430F"/>
    <w:rsid w:val="0075449C"/>
    <w:rsid w:val="00754B5E"/>
    <w:rsid w:val="00754CBE"/>
    <w:rsid w:val="00754D6F"/>
    <w:rsid w:val="007557A1"/>
    <w:rsid w:val="00756021"/>
    <w:rsid w:val="007560BD"/>
    <w:rsid w:val="00756346"/>
    <w:rsid w:val="0075648E"/>
    <w:rsid w:val="00756E0C"/>
    <w:rsid w:val="007573F9"/>
    <w:rsid w:val="007601ED"/>
    <w:rsid w:val="00760823"/>
    <w:rsid w:val="00760BBF"/>
    <w:rsid w:val="0076104B"/>
    <w:rsid w:val="00761CB5"/>
    <w:rsid w:val="00762164"/>
    <w:rsid w:val="00762345"/>
    <w:rsid w:val="00762468"/>
    <w:rsid w:val="00762947"/>
    <w:rsid w:val="00762BE7"/>
    <w:rsid w:val="007631A4"/>
    <w:rsid w:val="00763501"/>
    <w:rsid w:val="0076359A"/>
    <w:rsid w:val="007641F2"/>
    <w:rsid w:val="0076464C"/>
    <w:rsid w:val="00765FE8"/>
    <w:rsid w:val="0076726E"/>
    <w:rsid w:val="007672AE"/>
    <w:rsid w:val="0076759C"/>
    <w:rsid w:val="00767A70"/>
    <w:rsid w:val="00767B43"/>
    <w:rsid w:val="00767E02"/>
    <w:rsid w:val="0077004C"/>
    <w:rsid w:val="00770385"/>
    <w:rsid w:val="00770BDE"/>
    <w:rsid w:val="00770CD5"/>
    <w:rsid w:val="007712FC"/>
    <w:rsid w:val="0077160A"/>
    <w:rsid w:val="00771709"/>
    <w:rsid w:val="00771D1A"/>
    <w:rsid w:val="00772C57"/>
    <w:rsid w:val="00772D7F"/>
    <w:rsid w:val="00772EEC"/>
    <w:rsid w:val="00773077"/>
    <w:rsid w:val="00773103"/>
    <w:rsid w:val="0077363F"/>
    <w:rsid w:val="0077410F"/>
    <w:rsid w:val="0077425E"/>
    <w:rsid w:val="00775123"/>
    <w:rsid w:val="00775760"/>
    <w:rsid w:val="00775788"/>
    <w:rsid w:val="00776526"/>
    <w:rsid w:val="0077654E"/>
    <w:rsid w:val="00776A4B"/>
    <w:rsid w:val="00776AC6"/>
    <w:rsid w:val="00776BB3"/>
    <w:rsid w:val="00776CAE"/>
    <w:rsid w:val="00777532"/>
    <w:rsid w:val="0077755F"/>
    <w:rsid w:val="00777A7B"/>
    <w:rsid w:val="00777E01"/>
    <w:rsid w:val="00777EF9"/>
    <w:rsid w:val="00780302"/>
    <w:rsid w:val="00780705"/>
    <w:rsid w:val="007807A5"/>
    <w:rsid w:val="00780EBB"/>
    <w:rsid w:val="00781748"/>
    <w:rsid w:val="007828CB"/>
    <w:rsid w:val="00782F2F"/>
    <w:rsid w:val="00783397"/>
    <w:rsid w:val="00783478"/>
    <w:rsid w:val="00783646"/>
    <w:rsid w:val="00783D18"/>
    <w:rsid w:val="0078492E"/>
    <w:rsid w:val="00784C1B"/>
    <w:rsid w:val="00784F97"/>
    <w:rsid w:val="00785262"/>
    <w:rsid w:val="00785378"/>
    <w:rsid w:val="00785926"/>
    <w:rsid w:val="00785B0F"/>
    <w:rsid w:val="007862C8"/>
    <w:rsid w:val="00786651"/>
    <w:rsid w:val="00786EA8"/>
    <w:rsid w:val="0078719B"/>
    <w:rsid w:val="00787D12"/>
    <w:rsid w:val="00790058"/>
    <w:rsid w:val="007904E8"/>
    <w:rsid w:val="00790708"/>
    <w:rsid w:val="00790B53"/>
    <w:rsid w:val="007917EA"/>
    <w:rsid w:val="0079272A"/>
    <w:rsid w:val="00793052"/>
    <w:rsid w:val="00793138"/>
    <w:rsid w:val="007934B4"/>
    <w:rsid w:val="00793940"/>
    <w:rsid w:val="00793ABA"/>
    <w:rsid w:val="00794974"/>
    <w:rsid w:val="007952D3"/>
    <w:rsid w:val="00795584"/>
    <w:rsid w:val="00795A48"/>
    <w:rsid w:val="007960E6"/>
    <w:rsid w:val="00796364"/>
    <w:rsid w:val="007975F9"/>
    <w:rsid w:val="00797B16"/>
    <w:rsid w:val="00797E32"/>
    <w:rsid w:val="00797EAE"/>
    <w:rsid w:val="007A019C"/>
    <w:rsid w:val="007A0F46"/>
    <w:rsid w:val="007A0FCC"/>
    <w:rsid w:val="007A11BD"/>
    <w:rsid w:val="007A1A76"/>
    <w:rsid w:val="007A1C89"/>
    <w:rsid w:val="007A1DCD"/>
    <w:rsid w:val="007A1F25"/>
    <w:rsid w:val="007A2199"/>
    <w:rsid w:val="007A2554"/>
    <w:rsid w:val="007A271C"/>
    <w:rsid w:val="007A2A13"/>
    <w:rsid w:val="007A2A1A"/>
    <w:rsid w:val="007A2AB9"/>
    <w:rsid w:val="007A2BBD"/>
    <w:rsid w:val="007A3225"/>
    <w:rsid w:val="007A3535"/>
    <w:rsid w:val="007A359E"/>
    <w:rsid w:val="007A3FFE"/>
    <w:rsid w:val="007A418A"/>
    <w:rsid w:val="007A44ED"/>
    <w:rsid w:val="007A4A9B"/>
    <w:rsid w:val="007A4E36"/>
    <w:rsid w:val="007A5ABD"/>
    <w:rsid w:val="007A5F51"/>
    <w:rsid w:val="007A60CD"/>
    <w:rsid w:val="007A6D0A"/>
    <w:rsid w:val="007A6E47"/>
    <w:rsid w:val="007A797C"/>
    <w:rsid w:val="007A7D15"/>
    <w:rsid w:val="007B00AC"/>
    <w:rsid w:val="007B0A89"/>
    <w:rsid w:val="007B17CC"/>
    <w:rsid w:val="007B1BE8"/>
    <w:rsid w:val="007B1C38"/>
    <w:rsid w:val="007B1D3B"/>
    <w:rsid w:val="007B3C8F"/>
    <w:rsid w:val="007B3C91"/>
    <w:rsid w:val="007B454D"/>
    <w:rsid w:val="007B4E0A"/>
    <w:rsid w:val="007B51EF"/>
    <w:rsid w:val="007B595B"/>
    <w:rsid w:val="007B7997"/>
    <w:rsid w:val="007B7E85"/>
    <w:rsid w:val="007C012B"/>
    <w:rsid w:val="007C094C"/>
    <w:rsid w:val="007C16B6"/>
    <w:rsid w:val="007C1A7F"/>
    <w:rsid w:val="007C294A"/>
    <w:rsid w:val="007C2AE3"/>
    <w:rsid w:val="007C2C18"/>
    <w:rsid w:val="007C33D5"/>
    <w:rsid w:val="007C35C2"/>
    <w:rsid w:val="007C3A6A"/>
    <w:rsid w:val="007C3F1F"/>
    <w:rsid w:val="007C4015"/>
    <w:rsid w:val="007C414C"/>
    <w:rsid w:val="007C47B6"/>
    <w:rsid w:val="007C4EFC"/>
    <w:rsid w:val="007C52EE"/>
    <w:rsid w:val="007C558A"/>
    <w:rsid w:val="007C6112"/>
    <w:rsid w:val="007C64F0"/>
    <w:rsid w:val="007C6805"/>
    <w:rsid w:val="007C6EF6"/>
    <w:rsid w:val="007C7D0B"/>
    <w:rsid w:val="007D008A"/>
    <w:rsid w:val="007D01C6"/>
    <w:rsid w:val="007D126B"/>
    <w:rsid w:val="007D1607"/>
    <w:rsid w:val="007D1F0C"/>
    <w:rsid w:val="007D2DE0"/>
    <w:rsid w:val="007D395D"/>
    <w:rsid w:val="007D3CC1"/>
    <w:rsid w:val="007D3F67"/>
    <w:rsid w:val="007D453D"/>
    <w:rsid w:val="007D456D"/>
    <w:rsid w:val="007D46FE"/>
    <w:rsid w:val="007D4966"/>
    <w:rsid w:val="007D530E"/>
    <w:rsid w:val="007D544D"/>
    <w:rsid w:val="007D57AB"/>
    <w:rsid w:val="007D5884"/>
    <w:rsid w:val="007D5A5C"/>
    <w:rsid w:val="007D5E60"/>
    <w:rsid w:val="007D6B04"/>
    <w:rsid w:val="007D6DF7"/>
    <w:rsid w:val="007D6EE8"/>
    <w:rsid w:val="007D705D"/>
    <w:rsid w:val="007D76A7"/>
    <w:rsid w:val="007D77EE"/>
    <w:rsid w:val="007D7B2F"/>
    <w:rsid w:val="007E00C2"/>
    <w:rsid w:val="007E03DE"/>
    <w:rsid w:val="007E052D"/>
    <w:rsid w:val="007E0887"/>
    <w:rsid w:val="007E090F"/>
    <w:rsid w:val="007E15A6"/>
    <w:rsid w:val="007E1664"/>
    <w:rsid w:val="007E186C"/>
    <w:rsid w:val="007E1BAF"/>
    <w:rsid w:val="007E1DCE"/>
    <w:rsid w:val="007E1F7C"/>
    <w:rsid w:val="007E1F7D"/>
    <w:rsid w:val="007E20AD"/>
    <w:rsid w:val="007E287E"/>
    <w:rsid w:val="007E2929"/>
    <w:rsid w:val="007E2CCE"/>
    <w:rsid w:val="007E3522"/>
    <w:rsid w:val="007E3E9E"/>
    <w:rsid w:val="007E3EF4"/>
    <w:rsid w:val="007E4373"/>
    <w:rsid w:val="007E45B2"/>
    <w:rsid w:val="007E52BF"/>
    <w:rsid w:val="007E5897"/>
    <w:rsid w:val="007E5F7E"/>
    <w:rsid w:val="007E6197"/>
    <w:rsid w:val="007E65BF"/>
    <w:rsid w:val="007E65F2"/>
    <w:rsid w:val="007E66B7"/>
    <w:rsid w:val="007E6D92"/>
    <w:rsid w:val="007E72F2"/>
    <w:rsid w:val="007E79F3"/>
    <w:rsid w:val="007E7D7A"/>
    <w:rsid w:val="007E7ED2"/>
    <w:rsid w:val="007F00A9"/>
    <w:rsid w:val="007F01E1"/>
    <w:rsid w:val="007F090D"/>
    <w:rsid w:val="007F0E30"/>
    <w:rsid w:val="007F12FB"/>
    <w:rsid w:val="007F1D7B"/>
    <w:rsid w:val="007F1F11"/>
    <w:rsid w:val="007F25D6"/>
    <w:rsid w:val="007F3127"/>
    <w:rsid w:val="007F33FB"/>
    <w:rsid w:val="007F3703"/>
    <w:rsid w:val="007F370E"/>
    <w:rsid w:val="007F38C4"/>
    <w:rsid w:val="007F39CD"/>
    <w:rsid w:val="007F3C32"/>
    <w:rsid w:val="007F3DAF"/>
    <w:rsid w:val="007F42AE"/>
    <w:rsid w:val="007F4416"/>
    <w:rsid w:val="007F44BA"/>
    <w:rsid w:val="007F4A17"/>
    <w:rsid w:val="007F60B3"/>
    <w:rsid w:val="007F6203"/>
    <w:rsid w:val="007F63D0"/>
    <w:rsid w:val="007F71A9"/>
    <w:rsid w:val="007F7209"/>
    <w:rsid w:val="007F74DC"/>
    <w:rsid w:val="007F7ADA"/>
    <w:rsid w:val="007F7CE6"/>
    <w:rsid w:val="00800245"/>
    <w:rsid w:val="008005AD"/>
    <w:rsid w:val="00800B55"/>
    <w:rsid w:val="008013CB"/>
    <w:rsid w:val="00801768"/>
    <w:rsid w:val="008022B9"/>
    <w:rsid w:val="008022C2"/>
    <w:rsid w:val="00802571"/>
    <w:rsid w:val="0080293B"/>
    <w:rsid w:val="008032D5"/>
    <w:rsid w:val="0080331D"/>
    <w:rsid w:val="00803504"/>
    <w:rsid w:val="00803832"/>
    <w:rsid w:val="00803D29"/>
    <w:rsid w:val="008043B1"/>
    <w:rsid w:val="00804D76"/>
    <w:rsid w:val="0080501E"/>
    <w:rsid w:val="00805630"/>
    <w:rsid w:val="008057E7"/>
    <w:rsid w:val="00805AEC"/>
    <w:rsid w:val="00805C08"/>
    <w:rsid w:val="00806461"/>
    <w:rsid w:val="00806569"/>
    <w:rsid w:val="008068FF"/>
    <w:rsid w:val="00806B79"/>
    <w:rsid w:val="00806C1A"/>
    <w:rsid w:val="00806E02"/>
    <w:rsid w:val="00807C7E"/>
    <w:rsid w:val="00807E04"/>
    <w:rsid w:val="00810C38"/>
    <w:rsid w:val="00810C6D"/>
    <w:rsid w:val="00810DA7"/>
    <w:rsid w:val="00811A5E"/>
    <w:rsid w:val="00811BF9"/>
    <w:rsid w:val="00811E8D"/>
    <w:rsid w:val="0081220C"/>
    <w:rsid w:val="008122D5"/>
    <w:rsid w:val="00812BFD"/>
    <w:rsid w:val="008132B3"/>
    <w:rsid w:val="00813368"/>
    <w:rsid w:val="00813BC6"/>
    <w:rsid w:val="008145B2"/>
    <w:rsid w:val="00814C7B"/>
    <w:rsid w:val="00814DF6"/>
    <w:rsid w:val="00816C95"/>
    <w:rsid w:val="00816FAF"/>
    <w:rsid w:val="0081732E"/>
    <w:rsid w:val="008178DC"/>
    <w:rsid w:val="00817B63"/>
    <w:rsid w:val="008205C6"/>
    <w:rsid w:val="0082062C"/>
    <w:rsid w:val="008209E5"/>
    <w:rsid w:val="00820DE4"/>
    <w:rsid w:val="00820FE3"/>
    <w:rsid w:val="008214F1"/>
    <w:rsid w:val="00821848"/>
    <w:rsid w:val="00822337"/>
    <w:rsid w:val="00822655"/>
    <w:rsid w:val="0082290E"/>
    <w:rsid w:val="0082292E"/>
    <w:rsid w:val="00822BFA"/>
    <w:rsid w:val="00822C6E"/>
    <w:rsid w:val="00823059"/>
    <w:rsid w:val="00823621"/>
    <w:rsid w:val="00823D94"/>
    <w:rsid w:val="00823F04"/>
    <w:rsid w:val="008241A3"/>
    <w:rsid w:val="008243B9"/>
    <w:rsid w:val="00824B70"/>
    <w:rsid w:val="00824E29"/>
    <w:rsid w:val="00825450"/>
    <w:rsid w:val="008259D2"/>
    <w:rsid w:val="00825EA6"/>
    <w:rsid w:val="00825FA9"/>
    <w:rsid w:val="00827142"/>
    <w:rsid w:val="00827587"/>
    <w:rsid w:val="00827986"/>
    <w:rsid w:val="00830548"/>
    <w:rsid w:val="00830954"/>
    <w:rsid w:val="00830B50"/>
    <w:rsid w:val="00830F76"/>
    <w:rsid w:val="00830F7B"/>
    <w:rsid w:val="008313B3"/>
    <w:rsid w:val="00831404"/>
    <w:rsid w:val="00831958"/>
    <w:rsid w:val="00831A86"/>
    <w:rsid w:val="0083285A"/>
    <w:rsid w:val="00832B91"/>
    <w:rsid w:val="00832CEF"/>
    <w:rsid w:val="0083317A"/>
    <w:rsid w:val="00833523"/>
    <w:rsid w:val="00833B9E"/>
    <w:rsid w:val="00833D92"/>
    <w:rsid w:val="008342E6"/>
    <w:rsid w:val="0083447E"/>
    <w:rsid w:val="0083468B"/>
    <w:rsid w:val="008359E9"/>
    <w:rsid w:val="00835A14"/>
    <w:rsid w:val="00835E22"/>
    <w:rsid w:val="00836D24"/>
    <w:rsid w:val="00837285"/>
    <w:rsid w:val="008372CB"/>
    <w:rsid w:val="0083759F"/>
    <w:rsid w:val="00837FA9"/>
    <w:rsid w:val="00841A7F"/>
    <w:rsid w:val="00841E9B"/>
    <w:rsid w:val="00842033"/>
    <w:rsid w:val="00842161"/>
    <w:rsid w:val="0084236F"/>
    <w:rsid w:val="00842A7C"/>
    <w:rsid w:val="008430F5"/>
    <w:rsid w:val="00843585"/>
    <w:rsid w:val="00843E20"/>
    <w:rsid w:val="00844033"/>
    <w:rsid w:val="00844339"/>
    <w:rsid w:val="00844988"/>
    <w:rsid w:val="00844B37"/>
    <w:rsid w:val="00844B9C"/>
    <w:rsid w:val="00844DEB"/>
    <w:rsid w:val="00845CE6"/>
    <w:rsid w:val="00846E70"/>
    <w:rsid w:val="008474C1"/>
    <w:rsid w:val="00847C73"/>
    <w:rsid w:val="0085061E"/>
    <w:rsid w:val="00850DBA"/>
    <w:rsid w:val="00850FB0"/>
    <w:rsid w:val="0085195E"/>
    <w:rsid w:val="00851EC9"/>
    <w:rsid w:val="0085267A"/>
    <w:rsid w:val="00852A6F"/>
    <w:rsid w:val="00852AA2"/>
    <w:rsid w:val="00852CC6"/>
    <w:rsid w:val="00852F7C"/>
    <w:rsid w:val="00853836"/>
    <w:rsid w:val="00854E43"/>
    <w:rsid w:val="00855D22"/>
    <w:rsid w:val="00857395"/>
    <w:rsid w:val="00857B05"/>
    <w:rsid w:val="00860761"/>
    <w:rsid w:val="00860882"/>
    <w:rsid w:val="00860FE5"/>
    <w:rsid w:val="0086106F"/>
    <w:rsid w:val="008613C7"/>
    <w:rsid w:val="008614CA"/>
    <w:rsid w:val="00861E1B"/>
    <w:rsid w:val="00862440"/>
    <w:rsid w:val="008637FD"/>
    <w:rsid w:val="0086465C"/>
    <w:rsid w:val="0086537A"/>
    <w:rsid w:val="00865970"/>
    <w:rsid w:val="0086690D"/>
    <w:rsid w:val="00866BD6"/>
    <w:rsid w:val="00867389"/>
    <w:rsid w:val="00867946"/>
    <w:rsid w:val="00867B2D"/>
    <w:rsid w:val="00867B41"/>
    <w:rsid w:val="00867BE5"/>
    <w:rsid w:val="00867C7B"/>
    <w:rsid w:val="00870913"/>
    <w:rsid w:val="00870EDE"/>
    <w:rsid w:val="008722AF"/>
    <w:rsid w:val="008727A1"/>
    <w:rsid w:val="00872909"/>
    <w:rsid w:val="00872EB9"/>
    <w:rsid w:val="00873311"/>
    <w:rsid w:val="00873ECD"/>
    <w:rsid w:val="00873F0F"/>
    <w:rsid w:val="0087403B"/>
    <w:rsid w:val="00874863"/>
    <w:rsid w:val="00874B16"/>
    <w:rsid w:val="00874F71"/>
    <w:rsid w:val="0087510E"/>
    <w:rsid w:val="008756F5"/>
    <w:rsid w:val="00875707"/>
    <w:rsid w:val="00875FFE"/>
    <w:rsid w:val="008763FC"/>
    <w:rsid w:val="00876568"/>
    <w:rsid w:val="00876676"/>
    <w:rsid w:val="00876B50"/>
    <w:rsid w:val="00876B7F"/>
    <w:rsid w:val="008777D5"/>
    <w:rsid w:val="00880956"/>
    <w:rsid w:val="008811F9"/>
    <w:rsid w:val="00881205"/>
    <w:rsid w:val="008812DA"/>
    <w:rsid w:val="0088182A"/>
    <w:rsid w:val="0088191A"/>
    <w:rsid w:val="00881B95"/>
    <w:rsid w:val="00881E40"/>
    <w:rsid w:val="00882346"/>
    <w:rsid w:val="008824F4"/>
    <w:rsid w:val="00883155"/>
    <w:rsid w:val="00883DB0"/>
    <w:rsid w:val="00883FE1"/>
    <w:rsid w:val="008840E8"/>
    <w:rsid w:val="00884BA4"/>
    <w:rsid w:val="00884F97"/>
    <w:rsid w:val="008854E3"/>
    <w:rsid w:val="008872B6"/>
    <w:rsid w:val="008877D8"/>
    <w:rsid w:val="00887EC1"/>
    <w:rsid w:val="0089037B"/>
    <w:rsid w:val="00890981"/>
    <w:rsid w:val="00891A69"/>
    <w:rsid w:val="00891AE7"/>
    <w:rsid w:val="00891BD5"/>
    <w:rsid w:val="00891F2C"/>
    <w:rsid w:val="00891FD2"/>
    <w:rsid w:val="0089225A"/>
    <w:rsid w:val="0089273E"/>
    <w:rsid w:val="0089290B"/>
    <w:rsid w:val="008929D8"/>
    <w:rsid w:val="008934C7"/>
    <w:rsid w:val="008939A4"/>
    <w:rsid w:val="0089442B"/>
    <w:rsid w:val="0089515A"/>
    <w:rsid w:val="008954A9"/>
    <w:rsid w:val="00895843"/>
    <w:rsid w:val="008959F2"/>
    <w:rsid w:val="00895CE2"/>
    <w:rsid w:val="0089630F"/>
    <w:rsid w:val="00897485"/>
    <w:rsid w:val="008A021E"/>
    <w:rsid w:val="008A11A5"/>
    <w:rsid w:val="008A1737"/>
    <w:rsid w:val="008A1BBB"/>
    <w:rsid w:val="008A1FE0"/>
    <w:rsid w:val="008A22D9"/>
    <w:rsid w:val="008A2E98"/>
    <w:rsid w:val="008A2F05"/>
    <w:rsid w:val="008A2F81"/>
    <w:rsid w:val="008A31B9"/>
    <w:rsid w:val="008A4E1C"/>
    <w:rsid w:val="008A5686"/>
    <w:rsid w:val="008A56FE"/>
    <w:rsid w:val="008A5797"/>
    <w:rsid w:val="008A66E4"/>
    <w:rsid w:val="008A72D8"/>
    <w:rsid w:val="008A7841"/>
    <w:rsid w:val="008B0045"/>
    <w:rsid w:val="008B0549"/>
    <w:rsid w:val="008B0C08"/>
    <w:rsid w:val="008B16EE"/>
    <w:rsid w:val="008B183D"/>
    <w:rsid w:val="008B1DBF"/>
    <w:rsid w:val="008B20CE"/>
    <w:rsid w:val="008B214D"/>
    <w:rsid w:val="008B261B"/>
    <w:rsid w:val="008B2721"/>
    <w:rsid w:val="008B2B92"/>
    <w:rsid w:val="008B423B"/>
    <w:rsid w:val="008B4BD1"/>
    <w:rsid w:val="008B501D"/>
    <w:rsid w:val="008B6172"/>
    <w:rsid w:val="008B61DC"/>
    <w:rsid w:val="008B64AA"/>
    <w:rsid w:val="008B6716"/>
    <w:rsid w:val="008B69BD"/>
    <w:rsid w:val="008B71B8"/>
    <w:rsid w:val="008B75DD"/>
    <w:rsid w:val="008B788D"/>
    <w:rsid w:val="008B7C66"/>
    <w:rsid w:val="008B7CAD"/>
    <w:rsid w:val="008B7D5B"/>
    <w:rsid w:val="008B7D7B"/>
    <w:rsid w:val="008C2359"/>
    <w:rsid w:val="008C23B3"/>
    <w:rsid w:val="008C2933"/>
    <w:rsid w:val="008C2BE2"/>
    <w:rsid w:val="008C2EC8"/>
    <w:rsid w:val="008C3883"/>
    <w:rsid w:val="008C3C22"/>
    <w:rsid w:val="008C3F98"/>
    <w:rsid w:val="008C4027"/>
    <w:rsid w:val="008C42A2"/>
    <w:rsid w:val="008C44D9"/>
    <w:rsid w:val="008C47F1"/>
    <w:rsid w:val="008C70D3"/>
    <w:rsid w:val="008C7518"/>
    <w:rsid w:val="008D06F6"/>
    <w:rsid w:val="008D1531"/>
    <w:rsid w:val="008D1899"/>
    <w:rsid w:val="008D1AA9"/>
    <w:rsid w:val="008D1BC9"/>
    <w:rsid w:val="008D1D14"/>
    <w:rsid w:val="008D204F"/>
    <w:rsid w:val="008D26FE"/>
    <w:rsid w:val="008D2891"/>
    <w:rsid w:val="008D2CC8"/>
    <w:rsid w:val="008D310E"/>
    <w:rsid w:val="008D34D0"/>
    <w:rsid w:val="008D3F56"/>
    <w:rsid w:val="008D3F92"/>
    <w:rsid w:val="008D4BE1"/>
    <w:rsid w:val="008D5AAA"/>
    <w:rsid w:val="008D6437"/>
    <w:rsid w:val="008D669D"/>
    <w:rsid w:val="008D6EE4"/>
    <w:rsid w:val="008D7419"/>
    <w:rsid w:val="008D791C"/>
    <w:rsid w:val="008E0144"/>
    <w:rsid w:val="008E019B"/>
    <w:rsid w:val="008E02A9"/>
    <w:rsid w:val="008E02DF"/>
    <w:rsid w:val="008E0D58"/>
    <w:rsid w:val="008E0F89"/>
    <w:rsid w:val="008E10AC"/>
    <w:rsid w:val="008E1601"/>
    <w:rsid w:val="008E1A18"/>
    <w:rsid w:val="008E1F51"/>
    <w:rsid w:val="008E320D"/>
    <w:rsid w:val="008E3C2C"/>
    <w:rsid w:val="008E3F85"/>
    <w:rsid w:val="008E4E46"/>
    <w:rsid w:val="008E4E77"/>
    <w:rsid w:val="008E5516"/>
    <w:rsid w:val="008E55C7"/>
    <w:rsid w:val="008E57A3"/>
    <w:rsid w:val="008E6588"/>
    <w:rsid w:val="008E666A"/>
    <w:rsid w:val="008E6C32"/>
    <w:rsid w:val="008E6E82"/>
    <w:rsid w:val="008E72F7"/>
    <w:rsid w:val="008F0056"/>
    <w:rsid w:val="008F032A"/>
    <w:rsid w:val="008F05F9"/>
    <w:rsid w:val="008F0BF8"/>
    <w:rsid w:val="008F0F85"/>
    <w:rsid w:val="008F10CE"/>
    <w:rsid w:val="008F130E"/>
    <w:rsid w:val="008F14B9"/>
    <w:rsid w:val="008F25BF"/>
    <w:rsid w:val="008F2645"/>
    <w:rsid w:val="008F2F67"/>
    <w:rsid w:val="008F323E"/>
    <w:rsid w:val="008F39E3"/>
    <w:rsid w:val="008F3B0E"/>
    <w:rsid w:val="008F3C40"/>
    <w:rsid w:val="008F3F53"/>
    <w:rsid w:val="008F407D"/>
    <w:rsid w:val="008F4D8A"/>
    <w:rsid w:val="008F6222"/>
    <w:rsid w:val="008F6467"/>
    <w:rsid w:val="008F6786"/>
    <w:rsid w:val="008F6915"/>
    <w:rsid w:val="008F7173"/>
    <w:rsid w:val="008F7A0B"/>
    <w:rsid w:val="009001F9"/>
    <w:rsid w:val="009007E8"/>
    <w:rsid w:val="00900C3E"/>
    <w:rsid w:val="00900CCB"/>
    <w:rsid w:val="009010FB"/>
    <w:rsid w:val="00901D97"/>
    <w:rsid w:val="00901DFB"/>
    <w:rsid w:val="009028A0"/>
    <w:rsid w:val="0090313D"/>
    <w:rsid w:val="00903728"/>
    <w:rsid w:val="00903927"/>
    <w:rsid w:val="00903DAA"/>
    <w:rsid w:val="00903EE4"/>
    <w:rsid w:val="00904406"/>
    <w:rsid w:val="00904744"/>
    <w:rsid w:val="00904D12"/>
    <w:rsid w:val="009064D5"/>
    <w:rsid w:val="009067BD"/>
    <w:rsid w:val="00906AE7"/>
    <w:rsid w:val="00906C4B"/>
    <w:rsid w:val="009071BA"/>
    <w:rsid w:val="0090731C"/>
    <w:rsid w:val="009076A3"/>
    <w:rsid w:val="00907B8D"/>
    <w:rsid w:val="00907FDE"/>
    <w:rsid w:val="0091016B"/>
    <w:rsid w:val="00911238"/>
    <w:rsid w:val="009117C3"/>
    <w:rsid w:val="00911AAE"/>
    <w:rsid w:val="00911B5F"/>
    <w:rsid w:val="00912295"/>
    <w:rsid w:val="009125A2"/>
    <w:rsid w:val="00912A6A"/>
    <w:rsid w:val="009137D6"/>
    <w:rsid w:val="009139C5"/>
    <w:rsid w:val="00913B9D"/>
    <w:rsid w:val="00914543"/>
    <w:rsid w:val="009146BB"/>
    <w:rsid w:val="00914E50"/>
    <w:rsid w:val="009150B2"/>
    <w:rsid w:val="0091524B"/>
    <w:rsid w:val="00916197"/>
    <w:rsid w:val="009167DA"/>
    <w:rsid w:val="00916C6F"/>
    <w:rsid w:val="00916E5D"/>
    <w:rsid w:val="00917199"/>
    <w:rsid w:val="009175C6"/>
    <w:rsid w:val="00920003"/>
    <w:rsid w:val="0092088F"/>
    <w:rsid w:val="00920D58"/>
    <w:rsid w:val="00920E76"/>
    <w:rsid w:val="009221B4"/>
    <w:rsid w:val="0092275A"/>
    <w:rsid w:val="0092300B"/>
    <w:rsid w:val="00924A7A"/>
    <w:rsid w:val="00924C91"/>
    <w:rsid w:val="00924D5D"/>
    <w:rsid w:val="00924E5C"/>
    <w:rsid w:val="00924FCF"/>
    <w:rsid w:val="0092516F"/>
    <w:rsid w:val="0092552F"/>
    <w:rsid w:val="00925941"/>
    <w:rsid w:val="00926125"/>
    <w:rsid w:val="00926C90"/>
    <w:rsid w:val="00926EF6"/>
    <w:rsid w:val="00927D21"/>
    <w:rsid w:val="009307EF"/>
    <w:rsid w:val="00930836"/>
    <w:rsid w:val="00930CDA"/>
    <w:rsid w:val="00931119"/>
    <w:rsid w:val="00931224"/>
    <w:rsid w:val="009315FA"/>
    <w:rsid w:val="009319AB"/>
    <w:rsid w:val="00931B06"/>
    <w:rsid w:val="009326E8"/>
    <w:rsid w:val="00932B07"/>
    <w:rsid w:val="009333B8"/>
    <w:rsid w:val="009343CD"/>
    <w:rsid w:val="00934E4E"/>
    <w:rsid w:val="00934F68"/>
    <w:rsid w:val="0093553F"/>
    <w:rsid w:val="009357D7"/>
    <w:rsid w:val="009362AB"/>
    <w:rsid w:val="009365B0"/>
    <w:rsid w:val="00937B52"/>
    <w:rsid w:val="00940B48"/>
    <w:rsid w:val="00940E86"/>
    <w:rsid w:val="009415DA"/>
    <w:rsid w:val="00941918"/>
    <w:rsid w:val="00941C9E"/>
    <w:rsid w:val="009430D9"/>
    <w:rsid w:val="0094364F"/>
    <w:rsid w:val="00943AD8"/>
    <w:rsid w:val="0094426A"/>
    <w:rsid w:val="00944B50"/>
    <w:rsid w:val="0094543B"/>
    <w:rsid w:val="00945A01"/>
    <w:rsid w:val="00945A3B"/>
    <w:rsid w:val="009460E9"/>
    <w:rsid w:val="00946BB4"/>
    <w:rsid w:val="0094704E"/>
    <w:rsid w:val="009470B0"/>
    <w:rsid w:val="009470B4"/>
    <w:rsid w:val="00947288"/>
    <w:rsid w:val="0095021D"/>
    <w:rsid w:val="00950518"/>
    <w:rsid w:val="00950C3D"/>
    <w:rsid w:val="00950D23"/>
    <w:rsid w:val="00950DC7"/>
    <w:rsid w:val="00950FE4"/>
    <w:rsid w:val="009510DB"/>
    <w:rsid w:val="00951FF8"/>
    <w:rsid w:val="009521C0"/>
    <w:rsid w:val="009521EF"/>
    <w:rsid w:val="0095268E"/>
    <w:rsid w:val="0095350D"/>
    <w:rsid w:val="00953675"/>
    <w:rsid w:val="00953A9F"/>
    <w:rsid w:val="009546A6"/>
    <w:rsid w:val="00954889"/>
    <w:rsid w:val="00954EC5"/>
    <w:rsid w:val="009550A1"/>
    <w:rsid w:val="009554F4"/>
    <w:rsid w:val="009556D5"/>
    <w:rsid w:val="00955896"/>
    <w:rsid w:val="00955C65"/>
    <w:rsid w:val="00955CD8"/>
    <w:rsid w:val="0095648B"/>
    <w:rsid w:val="009565B0"/>
    <w:rsid w:val="00956BC0"/>
    <w:rsid w:val="009571F3"/>
    <w:rsid w:val="0095732F"/>
    <w:rsid w:val="0095738A"/>
    <w:rsid w:val="00957E30"/>
    <w:rsid w:val="009600D8"/>
    <w:rsid w:val="009603DE"/>
    <w:rsid w:val="009618FB"/>
    <w:rsid w:val="00961A98"/>
    <w:rsid w:val="00962E94"/>
    <w:rsid w:val="00963027"/>
    <w:rsid w:val="00963A2C"/>
    <w:rsid w:val="00963B5A"/>
    <w:rsid w:val="00964A4F"/>
    <w:rsid w:val="00965018"/>
    <w:rsid w:val="00965D54"/>
    <w:rsid w:val="00965F6E"/>
    <w:rsid w:val="00966211"/>
    <w:rsid w:val="00966593"/>
    <w:rsid w:val="00966D32"/>
    <w:rsid w:val="00966E1D"/>
    <w:rsid w:val="00967BF9"/>
    <w:rsid w:val="009703AF"/>
    <w:rsid w:val="0097150A"/>
    <w:rsid w:val="00971CA7"/>
    <w:rsid w:val="00971FC6"/>
    <w:rsid w:val="0097244E"/>
    <w:rsid w:val="00972636"/>
    <w:rsid w:val="0097284F"/>
    <w:rsid w:val="00972921"/>
    <w:rsid w:val="009738F3"/>
    <w:rsid w:val="00974AF0"/>
    <w:rsid w:val="0097521D"/>
    <w:rsid w:val="009754F1"/>
    <w:rsid w:val="009755EA"/>
    <w:rsid w:val="00975732"/>
    <w:rsid w:val="009759EA"/>
    <w:rsid w:val="00975A9F"/>
    <w:rsid w:val="00975E6A"/>
    <w:rsid w:val="00975EFD"/>
    <w:rsid w:val="00975F4A"/>
    <w:rsid w:val="00976722"/>
    <w:rsid w:val="00976791"/>
    <w:rsid w:val="0097686A"/>
    <w:rsid w:val="00976880"/>
    <w:rsid w:val="00976B65"/>
    <w:rsid w:val="00977221"/>
    <w:rsid w:val="00977320"/>
    <w:rsid w:val="00977B02"/>
    <w:rsid w:val="00977B1C"/>
    <w:rsid w:val="00977CB0"/>
    <w:rsid w:val="00977CDD"/>
    <w:rsid w:val="00980B26"/>
    <w:rsid w:val="00980F19"/>
    <w:rsid w:val="00981447"/>
    <w:rsid w:val="00981C18"/>
    <w:rsid w:val="00981C3E"/>
    <w:rsid w:val="00981D66"/>
    <w:rsid w:val="00981E5E"/>
    <w:rsid w:val="00982337"/>
    <w:rsid w:val="009829A1"/>
    <w:rsid w:val="00982B21"/>
    <w:rsid w:val="00982CC7"/>
    <w:rsid w:val="00982F4F"/>
    <w:rsid w:val="00983004"/>
    <w:rsid w:val="00983575"/>
    <w:rsid w:val="009841C8"/>
    <w:rsid w:val="0098455F"/>
    <w:rsid w:val="00984874"/>
    <w:rsid w:val="00984CED"/>
    <w:rsid w:val="00984D94"/>
    <w:rsid w:val="00985C8F"/>
    <w:rsid w:val="009862E1"/>
    <w:rsid w:val="009865F9"/>
    <w:rsid w:val="009866C3"/>
    <w:rsid w:val="009867BE"/>
    <w:rsid w:val="00986CD3"/>
    <w:rsid w:val="00986E71"/>
    <w:rsid w:val="00987977"/>
    <w:rsid w:val="0099016A"/>
    <w:rsid w:val="009910FE"/>
    <w:rsid w:val="00991E5C"/>
    <w:rsid w:val="0099256E"/>
    <w:rsid w:val="009925EB"/>
    <w:rsid w:val="009929E5"/>
    <w:rsid w:val="009934F6"/>
    <w:rsid w:val="00993603"/>
    <w:rsid w:val="00993806"/>
    <w:rsid w:val="00993AA3"/>
    <w:rsid w:val="00994416"/>
    <w:rsid w:val="0099471F"/>
    <w:rsid w:val="00994B1F"/>
    <w:rsid w:val="00994B6D"/>
    <w:rsid w:val="0099540B"/>
    <w:rsid w:val="009954B0"/>
    <w:rsid w:val="0099569C"/>
    <w:rsid w:val="009958C6"/>
    <w:rsid w:val="00996466"/>
    <w:rsid w:val="00996EC6"/>
    <w:rsid w:val="00996F04"/>
    <w:rsid w:val="00997597"/>
    <w:rsid w:val="00997EFB"/>
    <w:rsid w:val="00997F14"/>
    <w:rsid w:val="009A0183"/>
    <w:rsid w:val="009A0542"/>
    <w:rsid w:val="009A079C"/>
    <w:rsid w:val="009A0854"/>
    <w:rsid w:val="009A0945"/>
    <w:rsid w:val="009A0A7D"/>
    <w:rsid w:val="009A19A8"/>
    <w:rsid w:val="009A1A56"/>
    <w:rsid w:val="009A1C06"/>
    <w:rsid w:val="009A1EFA"/>
    <w:rsid w:val="009A1F0C"/>
    <w:rsid w:val="009A2031"/>
    <w:rsid w:val="009A354B"/>
    <w:rsid w:val="009A3723"/>
    <w:rsid w:val="009A3A4C"/>
    <w:rsid w:val="009A3F7B"/>
    <w:rsid w:val="009A4E31"/>
    <w:rsid w:val="009A5010"/>
    <w:rsid w:val="009A5124"/>
    <w:rsid w:val="009A569D"/>
    <w:rsid w:val="009A5777"/>
    <w:rsid w:val="009A6BA1"/>
    <w:rsid w:val="009A6CF8"/>
    <w:rsid w:val="009A6E8A"/>
    <w:rsid w:val="009A7C3B"/>
    <w:rsid w:val="009A7CB3"/>
    <w:rsid w:val="009A7E53"/>
    <w:rsid w:val="009A7F7A"/>
    <w:rsid w:val="009B0777"/>
    <w:rsid w:val="009B0799"/>
    <w:rsid w:val="009B0EC8"/>
    <w:rsid w:val="009B0FBB"/>
    <w:rsid w:val="009B129A"/>
    <w:rsid w:val="009B1463"/>
    <w:rsid w:val="009B1D1D"/>
    <w:rsid w:val="009B2E49"/>
    <w:rsid w:val="009B2EC1"/>
    <w:rsid w:val="009B37F7"/>
    <w:rsid w:val="009B4A6B"/>
    <w:rsid w:val="009B4B22"/>
    <w:rsid w:val="009B5226"/>
    <w:rsid w:val="009B5697"/>
    <w:rsid w:val="009B5D80"/>
    <w:rsid w:val="009B60FD"/>
    <w:rsid w:val="009B7D8A"/>
    <w:rsid w:val="009B7FF0"/>
    <w:rsid w:val="009C03C3"/>
    <w:rsid w:val="009C03EC"/>
    <w:rsid w:val="009C1155"/>
    <w:rsid w:val="009C1494"/>
    <w:rsid w:val="009C151D"/>
    <w:rsid w:val="009C16DD"/>
    <w:rsid w:val="009C1E17"/>
    <w:rsid w:val="009C2411"/>
    <w:rsid w:val="009C289D"/>
    <w:rsid w:val="009C2B34"/>
    <w:rsid w:val="009C2F87"/>
    <w:rsid w:val="009C2FF6"/>
    <w:rsid w:val="009C34D3"/>
    <w:rsid w:val="009C406D"/>
    <w:rsid w:val="009C42D4"/>
    <w:rsid w:val="009C4FF4"/>
    <w:rsid w:val="009C51AE"/>
    <w:rsid w:val="009C6E51"/>
    <w:rsid w:val="009C70D6"/>
    <w:rsid w:val="009D0716"/>
    <w:rsid w:val="009D1384"/>
    <w:rsid w:val="009D2A61"/>
    <w:rsid w:val="009D2D5C"/>
    <w:rsid w:val="009D2F99"/>
    <w:rsid w:val="009D3346"/>
    <w:rsid w:val="009D34EC"/>
    <w:rsid w:val="009D3BF4"/>
    <w:rsid w:val="009D4211"/>
    <w:rsid w:val="009D6260"/>
    <w:rsid w:val="009D72EC"/>
    <w:rsid w:val="009D744D"/>
    <w:rsid w:val="009E077B"/>
    <w:rsid w:val="009E11FD"/>
    <w:rsid w:val="009E19D2"/>
    <w:rsid w:val="009E1AC3"/>
    <w:rsid w:val="009E2072"/>
    <w:rsid w:val="009E20CD"/>
    <w:rsid w:val="009E2267"/>
    <w:rsid w:val="009E36D0"/>
    <w:rsid w:val="009E4004"/>
    <w:rsid w:val="009E4897"/>
    <w:rsid w:val="009E4F4A"/>
    <w:rsid w:val="009E59FD"/>
    <w:rsid w:val="009E5A0C"/>
    <w:rsid w:val="009E7167"/>
    <w:rsid w:val="009E7743"/>
    <w:rsid w:val="009E7854"/>
    <w:rsid w:val="009E7A1C"/>
    <w:rsid w:val="009F0903"/>
    <w:rsid w:val="009F109C"/>
    <w:rsid w:val="009F24E1"/>
    <w:rsid w:val="009F3F22"/>
    <w:rsid w:val="009F47DC"/>
    <w:rsid w:val="009F49F9"/>
    <w:rsid w:val="009F4B44"/>
    <w:rsid w:val="009F5892"/>
    <w:rsid w:val="009F6C21"/>
    <w:rsid w:val="009F7C2B"/>
    <w:rsid w:val="009F7D6F"/>
    <w:rsid w:val="00A006E1"/>
    <w:rsid w:val="00A00BE0"/>
    <w:rsid w:val="00A01037"/>
    <w:rsid w:val="00A01536"/>
    <w:rsid w:val="00A0180A"/>
    <w:rsid w:val="00A01A39"/>
    <w:rsid w:val="00A01D9C"/>
    <w:rsid w:val="00A0206A"/>
    <w:rsid w:val="00A02145"/>
    <w:rsid w:val="00A02241"/>
    <w:rsid w:val="00A02A70"/>
    <w:rsid w:val="00A02D53"/>
    <w:rsid w:val="00A0353E"/>
    <w:rsid w:val="00A043FC"/>
    <w:rsid w:val="00A04736"/>
    <w:rsid w:val="00A04937"/>
    <w:rsid w:val="00A04DCD"/>
    <w:rsid w:val="00A050C2"/>
    <w:rsid w:val="00A05385"/>
    <w:rsid w:val="00A05394"/>
    <w:rsid w:val="00A05A8E"/>
    <w:rsid w:val="00A05D95"/>
    <w:rsid w:val="00A062EF"/>
    <w:rsid w:val="00A06F03"/>
    <w:rsid w:val="00A06F99"/>
    <w:rsid w:val="00A07147"/>
    <w:rsid w:val="00A071E5"/>
    <w:rsid w:val="00A073A7"/>
    <w:rsid w:val="00A11349"/>
    <w:rsid w:val="00A11DE6"/>
    <w:rsid w:val="00A12A1E"/>
    <w:rsid w:val="00A12E89"/>
    <w:rsid w:val="00A13378"/>
    <w:rsid w:val="00A134B2"/>
    <w:rsid w:val="00A13C64"/>
    <w:rsid w:val="00A145A4"/>
    <w:rsid w:val="00A14626"/>
    <w:rsid w:val="00A15203"/>
    <w:rsid w:val="00A1535E"/>
    <w:rsid w:val="00A156E8"/>
    <w:rsid w:val="00A1591D"/>
    <w:rsid w:val="00A162DC"/>
    <w:rsid w:val="00A170CB"/>
    <w:rsid w:val="00A17137"/>
    <w:rsid w:val="00A1717D"/>
    <w:rsid w:val="00A1753F"/>
    <w:rsid w:val="00A177D3"/>
    <w:rsid w:val="00A17CBC"/>
    <w:rsid w:val="00A200B7"/>
    <w:rsid w:val="00A200C8"/>
    <w:rsid w:val="00A201A5"/>
    <w:rsid w:val="00A20521"/>
    <w:rsid w:val="00A2081C"/>
    <w:rsid w:val="00A210C4"/>
    <w:rsid w:val="00A21615"/>
    <w:rsid w:val="00A217A0"/>
    <w:rsid w:val="00A219B5"/>
    <w:rsid w:val="00A2243E"/>
    <w:rsid w:val="00A2314C"/>
    <w:rsid w:val="00A238F6"/>
    <w:rsid w:val="00A23A3B"/>
    <w:rsid w:val="00A2444D"/>
    <w:rsid w:val="00A24BB8"/>
    <w:rsid w:val="00A25A05"/>
    <w:rsid w:val="00A25AD9"/>
    <w:rsid w:val="00A26205"/>
    <w:rsid w:val="00A263A2"/>
    <w:rsid w:val="00A264D0"/>
    <w:rsid w:val="00A26ABB"/>
    <w:rsid w:val="00A271E7"/>
    <w:rsid w:val="00A27274"/>
    <w:rsid w:val="00A2730F"/>
    <w:rsid w:val="00A27E39"/>
    <w:rsid w:val="00A30301"/>
    <w:rsid w:val="00A30B0D"/>
    <w:rsid w:val="00A312C2"/>
    <w:rsid w:val="00A31400"/>
    <w:rsid w:val="00A31938"/>
    <w:rsid w:val="00A319BC"/>
    <w:rsid w:val="00A31B96"/>
    <w:rsid w:val="00A325E8"/>
    <w:rsid w:val="00A32657"/>
    <w:rsid w:val="00A32725"/>
    <w:rsid w:val="00A3286B"/>
    <w:rsid w:val="00A32D54"/>
    <w:rsid w:val="00A32F18"/>
    <w:rsid w:val="00A3347B"/>
    <w:rsid w:val="00A33D3D"/>
    <w:rsid w:val="00A34014"/>
    <w:rsid w:val="00A34555"/>
    <w:rsid w:val="00A34AA7"/>
    <w:rsid w:val="00A34C8B"/>
    <w:rsid w:val="00A34F43"/>
    <w:rsid w:val="00A354CB"/>
    <w:rsid w:val="00A35A02"/>
    <w:rsid w:val="00A3612A"/>
    <w:rsid w:val="00A36554"/>
    <w:rsid w:val="00A365BE"/>
    <w:rsid w:val="00A37133"/>
    <w:rsid w:val="00A3724F"/>
    <w:rsid w:val="00A37298"/>
    <w:rsid w:val="00A37514"/>
    <w:rsid w:val="00A377FA"/>
    <w:rsid w:val="00A37BD8"/>
    <w:rsid w:val="00A37D3E"/>
    <w:rsid w:val="00A401C5"/>
    <w:rsid w:val="00A407EB"/>
    <w:rsid w:val="00A40E39"/>
    <w:rsid w:val="00A417DC"/>
    <w:rsid w:val="00A41BCE"/>
    <w:rsid w:val="00A420B4"/>
    <w:rsid w:val="00A424E7"/>
    <w:rsid w:val="00A424EB"/>
    <w:rsid w:val="00A426D2"/>
    <w:rsid w:val="00A42723"/>
    <w:rsid w:val="00A42780"/>
    <w:rsid w:val="00A42D3D"/>
    <w:rsid w:val="00A4308E"/>
    <w:rsid w:val="00A45777"/>
    <w:rsid w:val="00A45C0C"/>
    <w:rsid w:val="00A460CA"/>
    <w:rsid w:val="00A46150"/>
    <w:rsid w:val="00A4633D"/>
    <w:rsid w:val="00A46609"/>
    <w:rsid w:val="00A46829"/>
    <w:rsid w:val="00A46F70"/>
    <w:rsid w:val="00A47022"/>
    <w:rsid w:val="00A4719F"/>
    <w:rsid w:val="00A473BD"/>
    <w:rsid w:val="00A47580"/>
    <w:rsid w:val="00A50122"/>
    <w:rsid w:val="00A51256"/>
    <w:rsid w:val="00A5138A"/>
    <w:rsid w:val="00A5247E"/>
    <w:rsid w:val="00A529BC"/>
    <w:rsid w:val="00A52A6E"/>
    <w:rsid w:val="00A52B19"/>
    <w:rsid w:val="00A52DF6"/>
    <w:rsid w:val="00A5306C"/>
    <w:rsid w:val="00A53E10"/>
    <w:rsid w:val="00A541E7"/>
    <w:rsid w:val="00A541EF"/>
    <w:rsid w:val="00A54B7F"/>
    <w:rsid w:val="00A54BE2"/>
    <w:rsid w:val="00A54E07"/>
    <w:rsid w:val="00A55579"/>
    <w:rsid w:val="00A557D6"/>
    <w:rsid w:val="00A55C16"/>
    <w:rsid w:val="00A562A9"/>
    <w:rsid w:val="00A57138"/>
    <w:rsid w:val="00A572EC"/>
    <w:rsid w:val="00A57F40"/>
    <w:rsid w:val="00A60543"/>
    <w:rsid w:val="00A60FAB"/>
    <w:rsid w:val="00A6168B"/>
    <w:rsid w:val="00A632FA"/>
    <w:rsid w:val="00A63A09"/>
    <w:rsid w:val="00A63B09"/>
    <w:rsid w:val="00A6529E"/>
    <w:rsid w:val="00A65C34"/>
    <w:rsid w:val="00A66476"/>
    <w:rsid w:val="00A66926"/>
    <w:rsid w:val="00A66E99"/>
    <w:rsid w:val="00A67048"/>
    <w:rsid w:val="00A67F0A"/>
    <w:rsid w:val="00A70235"/>
    <w:rsid w:val="00A70422"/>
    <w:rsid w:val="00A709D8"/>
    <w:rsid w:val="00A712CE"/>
    <w:rsid w:val="00A714AC"/>
    <w:rsid w:val="00A71727"/>
    <w:rsid w:val="00A71882"/>
    <w:rsid w:val="00A723D4"/>
    <w:rsid w:val="00A730B5"/>
    <w:rsid w:val="00A73132"/>
    <w:rsid w:val="00A7450B"/>
    <w:rsid w:val="00A75291"/>
    <w:rsid w:val="00A75ADE"/>
    <w:rsid w:val="00A75C6C"/>
    <w:rsid w:val="00A76857"/>
    <w:rsid w:val="00A76D2D"/>
    <w:rsid w:val="00A77110"/>
    <w:rsid w:val="00A77501"/>
    <w:rsid w:val="00A803F7"/>
    <w:rsid w:val="00A80586"/>
    <w:rsid w:val="00A80EFE"/>
    <w:rsid w:val="00A81F7D"/>
    <w:rsid w:val="00A823A2"/>
    <w:rsid w:val="00A8293D"/>
    <w:rsid w:val="00A82B9E"/>
    <w:rsid w:val="00A82D7A"/>
    <w:rsid w:val="00A832AE"/>
    <w:rsid w:val="00A83588"/>
    <w:rsid w:val="00A836D8"/>
    <w:rsid w:val="00A83B1F"/>
    <w:rsid w:val="00A84430"/>
    <w:rsid w:val="00A84CC9"/>
    <w:rsid w:val="00A85A8B"/>
    <w:rsid w:val="00A85EB8"/>
    <w:rsid w:val="00A8606A"/>
    <w:rsid w:val="00A86356"/>
    <w:rsid w:val="00A864E3"/>
    <w:rsid w:val="00A8667E"/>
    <w:rsid w:val="00A86781"/>
    <w:rsid w:val="00A8699B"/>
    <w:rsid w:val="00A86B06"/>
    <w:rsid w:val="00A86C00"/>
    <w:rsid w:val="00A86DAF"/>
    <w:rsid w:val="00A873B5"/>
    <w:rsid w:val="00A879A3"/>
    <w:rsid w:val="00A87E42"/>
    <w:rsid w:val="00A87E90"/>
    <w:rsid w:val="00A90859"/>
    <w:rsid w:val="00A90FCC"/>
    <w:rsid w:val="00A910CA"/>
    <w:rsid w:val="00A911AC"/>
    <w:rsid w:val="00A91E01"/>
    <w:rsid w:val="00A91E31"/>
    <w:rsid w:val="00A91E43"/>
    <w:rsid w:val="00A9212A"/>
    <w:rsid w:val="00A92F8D"/>
    <w:rsid w:val="00A939C2"/>
    <w:rsid w:val="00A94247"/>
    <w:rsid w:val="00A9454D"/>
    <w:rsid w:val="00A94B7A"/>
    <w:rsid w:val="00A957B9"/>
    <w:rsid w:val="00A95A3A"/>
    <w:rsid w:val="00A9672F"/>
    <w:rsid w:val="00A967A7"/>
    <w:rsid w:val="00A971D2"/>
    <w:rsid w:val="00A97708"/>
    <w:rsid w:val="00A97A78"/>
    <w:rsid w:val="00AA02F5"/>
    <w:rsid w:val="00AA066A"/>
    <w:rsid w:val="00AA0FF2"/>
    <w:rsid w:val="00AA125D"/>
    <w:rsid w:val="00AA144F"/>
    <w:rsid w:val="00AA1536"/>
    <w:rsid w:val="00AA1B4A"/>
    <w:rsid w:val="00AA1BC5"/>
    <w:rsid w:val="00AA1F5F"/>
    <w:rsid w:val="00AA2587"/>
    <w:rsid w:val="00AA2C9E"/>
    <w:rsid w:val="00AA2CC6"/>
    <w:rsid w:val="00AA33D3"/>
    <w:rsid w:val="00AA44F8"/>
    <w:rsid w:val="00AA5410"/>
    <w:rsid w:val="00AA550F"/>
    <w:rsid w:val="00AA5AC4"/>
    <w:rsid w:val="00AA62C8"/>
    <w:rsid w:val="00AA6573"/>
    <w:rsid w:val="00AA69BA"/>
    <w:rsid w:val="00AA6AE3"/>
    <w:rsid w:val="00AA6B85"/>
    <w:rsid w:val="00AA6CA3"/>
    <w:rsid w:val="00AA73DA"/>
    <w:rsid w:val="00AA756C"/>
    <w:rsid w:val="00AA795D"/>
    <w:rsid w:val="00AA7A4A"/>
    <w:rsid w:val="00AB0A1B"/>
    <w:rsid w:val="00AB0AB9"/>
    <w:rsid w:val="00AB1845"/>
    <w:rsid w:val="00AB1D0C"/>
    <w:rsid w:val="00AB23FA"/>
    <w:rsid w:val="00AB2834"/>
    <w:rsid w:val="00AB2966"/>
    <w:rsid w:val="00AB2AFC"/>
    <w:rsid w:val="00AB2EBD"/>
    <w:rsid w:val="00AB3626"/>
    <w:rsid w:val="00AB39F7"/>
    <w:rsid w:val="00AB3CD5"/>
    <w:rsid w:val="00AB3E20"/>
    <w:rsid w:val="00AB40E5"/>
    <w:rsid w:val="00AB47A9"/>
    <w:rsid w:val="00AB4E1F"/>
    <w:rsid w:val="00AB5000"/>
    <w:rsid w:val="00AB6A18"/>
    <w:rsid w:val="00AB6A8B"/>
    <w:rsid w:val="00AB6D26"/>
    <w:rsid w:val="00AB6F16"/>
    <w:rsid w:val="00AB7A09"/>
    <w:rsid w:val="00AC1518"/>
    <w:rsid w:val="00AC16FB"/>
    <w:rsid w:val="00AC17C7"/>
    <w:rsid w:val="00AC18E1"/>
    <w:rsid w:val="00AC1978"/>
    <w:rsid w:val="00AC1B8D"/>
    <w:rsid w:val="00AC1DAE"/>
    <w:rsid w:val="00AC294F"/>
    <w:rsid w:val="00AC5529"/>
    <w:rsid w:val="00AC5CB7"/>
    <w:rsid w:val="00AC5E9E"/>
    <w:rsid w:val="00AC6B2A"/>
    <w:rsid w:val="00AC6C35"/>
    <w:rsid w:val="00AC6EB9"/>
    <w:rsid w:val="00AC6FDC"/>
    <w:rsid w:val="00AC7131"/>
    <w:rsid w:val="00AC72A5"/>
    <w:rsid w:val="00AC730E"/>
    <w:rsid w:val="00AC75D2"/>
    <w:rsid w:val="00AC7F06"/>
    <w:rsid w:val="00AC7FD1"/>
    <w:rsid w:val="00AD025A"/>
    <w:rsid w:val="00AD0560"/>
    <w:rsid w:val="00AD10A9"/>
    <w:rsid w:val="00AD2477"/>
    <w:rsid w:val="00AD26BD"/>
    <w:rsid w:val="00AD2B95"/>
    <w:rsid w:val="00AD3925"/>
    <w:rsid w:val="00AD432B"/>
    <w:rsid w:val="00AD44D1"/>
    <w:rsid w:val="00AD4C10"/>
    <w:rsid w:val="00AD6485"/>
    <w:rsid w:val="00AD6654"/>
    <w:rsid w:val="00AD67E8"/>
    <w:rsid w:val="00AD6D16"/>
    <w:rsid w:val="00AD7D4C"/>
    <w:rsid w:val="00AE06EB"/>
    <w:rsid w:val="00AE0A3F"/>
    <w:rsid w:val="00AE0B85"/>
    <w:rsid w:val="00AE0C9B"/>
    <w:rsid w:val="00AE0EB8"/>
    <w:rsid w:val="00AE1239"/>
    <w:rsid w:val="00AE1A99"/>
    <w:rsid w:val="00AE30E4"/>
    <w:rsid w:val="00AE44DD"/>
    <w:rsid w:val="00AE4A08"/>
    <w:rsid w:val="00AE5919"/>
    <w:rsid w:val="00AE5B67"/>
    <w:rsid w:val="00AE5CD4"/>
    <w:rsid w:val="00AE68D7"/>
    <w:rsid w:val="00AE693F"/>
    <w:rsid w:val="00AE7348"/>
    <w:rsid w:val="00AE7598"/>
    <w:rsid w:val="00AE79DF"/>
    <w:rsid w:val="00AE7F76"/>
    <w:rsid w:val="00AF062F"/>
    <w:rsid w:val="00AF06E0"/>
    <w:rsid w:val="00AF08D6"/>
    <w:rsid w:val="00AF14F2"/>
    <w:rsid w:val="00AF159C"/>
    <w:rsid w:val="00AF1B6F"/>
    <w:rsid w:val="00AF1C85"/>
    <w:rsid w:val="00AF1CD5"/>
    <w:rsid w:val="00AF27C0"/>
    <w:rsid w:val="00AF27D6"/>
    <w:rsid w:val="00AF292D"/>
    <w:rsid w:val="00AF2A99"/>
    <w:rsid w:val="00AF33D6"/>
    <w:rsid w:val="00AF39EA"/>
    <w:rsid w:val="00AF3DDD"/>
    <w:rsid w:val="00AF421B"/>
    <w:rsid w:val="00AF451B"/>
    <w:rsid w:val="00AF4BAB"/>
    <w:rsid w:val="00AF4F23"/>
    <w:rsid w:val="00AF5419"/>
    <w:rsid w:val="00AF6590"/>
    <w:rsid w:val="00AF66B4"/>
    <w:rsid w:val="00AF694C"/>
    <w:rsid w:val="00AF694E"/>
    <w:rsid w:val="00AF717A"/>
    <w:rsid w:val="00AF7289"/>
    <w:rsid w:val="00AF73BF"/>
    <w:rsid w:val="00AF7F27"/>
    <w:rsid w:val="00B007E6"/>
    <w:rsid w:val="00B018C2"/>
    <w:rsid w:val="00B02C1A"/>
    <w:rsid w:val="00B02CE2"/>
    <w:rsid w:val="00B0305F"/>
    <w:rsid w:val="00B032E6"/>
    <w:rsid w:val="00B034D6"/>
    <w:rsid w:val="00B03920"/>
    <w:rsid w:val="00B03D3C"/>
    <w:rsid w:val="00B048B3"/>
    <w:rsid w:val="00B04AF4"/>
    <w:rsid w:val="00B05334"/>
    <w:rsid w:val="00B05ED3"/>
    <w:rsid w:val="00B07467"/>
    <w:rsid w:val="00B07DB4"/>
    <w:rsid w:val="00B10202"/>
    <w:rsid w:val="00B10E43"/>
    <w:rsid w:val="00B10E9E"/>
    <w:rsid w:val="00B10ECB"/>
    <w:rsid w:val="00B11541"/>
    <w:rsid w:val="00B12207"/>
    <w:rsid w:val="00B1227E"/>
    <w:rsid w:val="00B12575"/>
    <w:rsid w:val="00B12DF6"/>
    <w:rsid w:val="00B13115"/>
    <w:rsid w:val="00B13DA2"/>
    <w:rsid w:val="00B13F13"/>
    <w:rsid w:val="00B14168"/>
    <w:rsid w:val="00B141A5"/>
    <w:rsid w:val="00B142AD"/>
    <w:rsid w:val="00B14779"/>
    <w:rsid w:val="00B14908"/>
    <w:rsid w:val="00B14D3F"/>
    <w:rsid w:val="00B15871"/>
    <w:rsid w:val="00B1601E"/>
    <w:rsid w:val="00B16335"/>
    <w:rsid w:val="00B16540"/>
    <w:rsid w:val="00B16F07"/>
    <w:rsid w:val="00B17105"/>
    <w:rsid w:val="00B175ED"/>
    <w:rsid w:val="00B17FF5"/>
    <w:rsid w:val="00B202C1"/>
    <w:rsid w:val="00B208AD"/>
    <w:rsid w:val="00B21006"/>
    <w:rsid w:val="00B2101A"/>
    <w:rsid w:val="00B21C19"/>
    <w:rsid w:val="00B226E4"/>
    <w:rsid w:val="00B229D3"/>
    <w:rsid w:val="00B22E7F"/>
    <w:rsid w:val="00B233F9"/>
    <w:rsid w:val="00B238C6"/>
    <w:rsid w:val="00B23FE7"/>
    <w:rsid w:val="00B24687"/>
    <w:rsid w:val="00B24A7E"/>
    <w:rsid w:val="00B24B39"/>
    <w:rsid w:val="00B24B87"/>
    <w:rsid w:val="00B24E9B"/>
    <w:rsid w:val="00B25797"/>
    <w:rsid w:val="00B25C7C"/>
    <w:rsid w:val="00B261B9"/>
    <w:rsid w:val="00B27175"/>
    <w:rsid w:val="00B30319"/>
    <w:rsid w:val="00B30591"/>
    <w:rsid w:val="00B309B0"/>
    <w:rsid w:val="00B31B3A"/>
    <w:rsid w:val="00B3257A"/>
    <w:rsid w:val="00B33C76"/>
    <w:rsid w:val="00B33C98"/>
    <w:rsid w:val="00B33DBB"/>
    <w:rsid w:val="00B3411C"/>
    <w:rsid w:val="00B35BA4"/>
    <w:rsid w:val="00B3627E"/>
    <w:rsid w:val="00B36B45"/>
    <w:rsid w:val="00B36ECE"/>
    <w:rsid w:val="00B36FA9"/>
    <w:rsid w:val="00B3732B"/>
    <w:rsid w:val="00B376D5"/>
    <w:rsid w:val="00B37ACC"/>
    <w:rsid w:val="00B40985"/>
    <w:rsid w:val="00B40D88"/>
    <w:rsid w:val="00B41269"/>
    <w:rsid w:val="00B41394"/>
    <w:rsid w:val="00B41AF0"/>
    <w:rsid w:val="00B41DBB"/>
    <w:rsid w:val="00B42309"/>
    <w:rsid w:val="00B42611"/>
    <w:rsid w:val="00B42998"/>
    <w:rsid w:val="00B4359C"/>
    <w:rsid w:val="00B4387C"/>
    <w:rsid w:val="00B43B4D"/>
    <w:rsid w:val="00B4429A"/>
    <w:rsid w:val="00B4488D"/>
    <w:rsid w:val="00B44C5A"/>
    <w:rsid w:val="00B45112"/>
    <w:rsid w:val="00B45964"/>
    <w:rsid w:val="00B460F8"/>
    <w:rsid w:val="00B466F9"/>
    <w:rsid w:val="00B471EC"/>
    <w:rsid w:val="00B47257"/>
    <w:rsid w:val="00B47758"/>
    <w:rsid w:val="00B47779"/>
    <w:rsid w:val="00B477D3"/>
    <w:rsid w:val="00B47DBA"/>
    <w:rsid w:val="00B47EBB"/>
    <w:rsid w:val="00B500AF"/>
    <w:rsid w:val="00B506B0"/>
    <w:rsid w:val="00B520B9"/>
    <w:rsid w:val="00B52FE1"/>
    <w:rsid w:val="00B539E9"/>
    <w:rsid w:val="00B53C83"/>
    <w:rsid w:val="00B53D82"/>
    <w:rsid w:val="00B549C3"/>
    <w:rsid w:val="00B5500B"/>
    <w:rsid w:val="00B551E4"/>
    <w:rsid w:val="00B555F2"/>
    <w:rsid w:val="00B55AF9"/>
    <w:rsid w:val="00B56317"/>
    <w:rsid w:val="00B56B0D"/>
    <w:rsid w:val="00B56C79"/>
    <w:rsid w:val="00B574DD"/>
    <w:rsid w:val="00B577C8"/>
    <w:rsid w:val="00B60756"/>
    <w:rsid w:val="00B60F87"/>
    <w:rsid w:val="00B60F8D"/>
    <w:rsid w:val="00B6101E"/>
    <w:rsid w:val="00B61233"/>
    <w:rsid w:val="00B612D3"/>
    <w:rsid w:val="00B61FEC"/>
    <w:rsid w:val="00B621F0"/>
    <w:rsid w:val="00B62B31"/>
    <w:rsid w:val="00B63B36"/>
    <w:rsid w:val="00B63C77"/>
    <w:rsid w:val="00B64C6D"/>
    <w:rsid w:val="00B651D0"/>
    <w:rsid w:val="00B6563C"/>
    <w:rsid w:val="00B65B21"/>
    <w:rsid w:val="00B65C2B"/>
    <w:rsid w:val="00B65E63"/>
    <w:rsid w:val="00B66D60"/>
    <w:rsid w:val="00B66E62"/>
    <w:rsid w:val="00B66E6E"/>
    <w:rsid w:val="00B673C1"/>
    <w:rsid w:val="00B70125"/>
    <w:rsid w:val="00B70492"/>
    <w:rsid w:val="00B70AA1"/>
    <w:rsid w:val="00B70B25"/>
    <w:rsid w:val="00B712DB"/>
    <w:rsid w:val="00B7286A"/>
    <w:rsid w:val="00B72C0D"/>
    <w:rsid w:val="00B72FA6"/>
    <w:rsid w:val="00B73292"/>
    <w:rsid w:val="00B73671"/>
    <w:rsid w:val="00B73BA9"/>
    <w:rsid w:val="00B745FC"/>
    <w:rsid w:val="00B74A34"/>
    <w:rsid w:val="00B74C62"/>
    <w:rsid w:val="00B7510A"/>
    <w:rsid w:val="00B75F2D"/>
    <w:rsid w:val="00B760D5"/>
    <w:rsid w:val="00B764C5"/>
    <w:rsid w:val="00B76B28"/>
    <w:rsid w:val="00B76DF8"/>
    <w:rsid w:val="00B772AE"/>
    <w:rsid w:val="00B77865"/>
    <w:rsid w:val="00B7787B"/>
    <w:rsid w:val="00B801CF"/>
    <w:rsid w:val="00B80E16"/>
    <w:rsid w:val="00B817B4"/>
    <w:rsid w:val="00B81A94"/>
    <w:rsid w:val="00B81C23"/>
    <w:rsid w:val="00B83605"/>
    <w:rsid w:val="00B8378B"/>
    <w:rsid w:val="00B83D3C"/>
    <w:rsid w:val="00B83E0B"/>
    <w:rsid w:val="00B8417F"/>
    <w:rsid w:val="00B849C4"/>
    <w:rsid w:val="00B84B59"/>
    <w:rsid w:val="00B85859"/>
    <w:rsid w:val="00B859B3"/>
    <w:rsid w:val="00B85EC9"/>
    <w:rsid w:val="00B85FD7"/>
    <w:rsid w:val="00B86F28"/>
    <w:rsid w:val="00B872F7"/>
    <w:rsid w:val="00B87377"/>
    <w:rsid w:val="00B874C2"/>
    <w:rsid w:val="00B87A6C"/>
    <w:rsid w:val="00B87C72"/>
    <w:rsid w:val="00B902E2"/>
    <w:rsid w:val="00B91230"/>
    <w:rsid w:val="00B92E80"/>
    <w:rsid w:val="00B92EA3"/>
    <w:rsid w:val="00B92EA6"/>
    <w:rsid w:val="00B9362F"/>
    <w:rsid w:val="00B93DCC"/>
    <w:rsid w:val="00B946AA"/>
    <w:rsid w:val="00B94E67"/>
    <w:rsid w:val="00B94F8C"/>
    <w:rsid w:val="00B955D5"/>
    <w:rsid w:val="00B9587A"/>
    <w:rsid w:val="00B95921"/>
    <w:rsid w:val="00B96031"/>
    <w:rsid w:val="00B970AF"/>
    <w:rsid w:val="00B97AF1"/>
    <w:rsid w:val="00B97B21"/>
    <w:rsid w:val="00BA0236"/>
    <w:rsid w:val="00BA2DAB"/>
    <w:rsid w:val="00BA3180"/>
    <w:rsid w:val="00BA31A2"/>
    <w:rsid w:val="00BA498F"/>
    <w:rsid w:val="00BA4D94"/>
    <w:rsid w:val="00BA4EBA"/>
    <w:rsid w:val="00BA5993"/>
    <w:rsid w:val="00BA61B8"/>
    <w:rsid w:val="00BA66C5"/>
    <w:rsid w:val="00BA6805"/>
    <w:rsid w:val="00BA6DE2"/>
    <w:rsid w:val="00BA7097"/>
    <w:rsid w:val="00BA75DA"/>
    <w:rsid w:val="00BA7E7F"/>
    <w:rsid w:val="00BB0474"/>
    <w:rsid w:val="00BB04FA"/>
    <w:rsid w:val="00BB121B"/>
    <w:rsid w:val="00BB19C4"/>
    <w:rsid w:val="00BB2B37"/>
    <w:rsid w:val="00BB303A"/>
    <w:rsid w:val="00BB3656"/>
    <w:rsid w:val="00BB4174"/>
    <w:rsid w:val="00BB4621"/>
    <w:rsid w:val="00BB476D"/>
    <w:rsid w:val="00BB4AC7"/>
    <w:rsid w:val="00BB4B07"/>
    <w:rsid w:val="00BB4D0E"/>
    <w:rsid w:val="00BB50DB"/>
    <w:rsid w:val="00BB542E"/>
    <w:rsid w:val="00BB5C84"/>
    <w:rsid w:val="00BB6098"/>
    <w:rsid w:val="00BB6A4D"/>
    <w:rsid w:val="00BB6B00"/>
    <w:rsid w:val="00BB7A1D"/>
    <w:rsid w:val="00BB7F42"/>
    <w:rsid w:val="00BC0A80"/>
    <w:rsid w:val="00BC0A92"/>
    <w:rsid w:val="00BC0D27"/>
    <w:rsid w:val="00BC1506"/>
    <w:rsid w:val="00BC15F1"/>
    <w:rsid w:val="00BC1BDA"/>
    <w:rsid w:val="00BC1F17"/>
    <w:rsid w:val="00BC22D9"/>
    <w:rsid w:val="00BC2633"/>
    <w:rsid w:val="00BC2B05"/>
    <w:rsid w:val="00BC2D63"/>
    <w:rsid w:val="00BC333C"/>
    <w:rsid w:val="00BC49E9"/>
    <w:rsid w:val="00BC4A56"/>
    <w:rsid w:val="00BC519C"/>
    <w:rsid w:val="00BC51CB"/>
    <w:rsid w:val="00BC5461"/>
    <w:rsid w:val="00BC582F"/>
    <w:rsid w:val="00BC6333"/>
    <w:rsid w:val="00BC64C1"/>
    <w:rsid w:val="00BC6702"/>
    <w:rsid w:val="00BC67A4"/>
    <w:rsid w:val="00BC6F6D"/>
    <w:rsid w:val="00BC7774"/>
    <w:rsid w:val="00BC77A5"/>
    <w:rsid w:val="00BD061C"/>
    <w:rsid w:val="00BD0796"/>
    <w:rsid w:val="00BD0A27"/>
    <w:rsid w:val="00BD17A2"/>
    <w:rsid w:val="00BD1C73"/>
    <w:rsid w:val="00BD2513"/>
    <w:rsid w:val="00BD2BD5"/>
    <w:rsid w:val="00BD2D3A"/>
    <w:rsid w:val="00BD2DB4"/>
    <w:rsid w:val="00BD2DC3"/>
    <w:rsid w:val="00BD3764"/>
    <w:rsid w:val="00BD3E6A"/>
    <w:rsid w:val="00BD4014"/>
    <w:rsid w:val="00BD457C"/>
    <w:rsid w:val="00BD5BD3"/>
    <w:rsid w:val="00BD5F16"/>
    <w:rsid w:val="00BD6EC9"/>
    <w:rsid w:val="00BD7BB6"/>
    <w:rsid w:val="00BD7F11"/>
    <w:rsid w:val="00BE0023"/>
    <w:rsid w:val="00BE00DD"/>
    <w:rsid w:val="00BE11BB"/>
    <w:rsid w:val="00BE1772"/>
    <w:rsid w:val="00BE1943"/>
    <w:rsid w:val="00BE1973"/>
    <w:rsid w:val="00BE1A6C"/>
    <w:rsid w:val="00BE1BC9"/>
    <w:rsid w:val="00BE1C34"/>
    <w:rsid w:val="00BE1E72"/>
    <w:rsid w:val="00BE22A9"/>
    <w:rsid w:val="00BE2392"/>
    <w:rsid w:val="00BE24E5"/>
    <w:rsid w:val="00BE26B4"/>
    <w:rsid w:val="00BE2922"/>
    <w:rsid w:val="00BE31C6"/>
    <w:rsid w:val="00BE3714"/>
    <w:rsid w:val="00BE3E5E"/>
    <w:rsid w:val="00BE3E9C"/>
    <w:rsid w:val="00BE3ECB"/>
    <w:rsid w:val="00BE4858"/>
    <w:rsid w:val="00BE4B83"/>
    <w:rsid w:val="00BE4EE6"/>
    <w:rsid w:val="00BE4F15"/>
    <w:rsid w:val="00BE4F58"/>
    <w:rsid w:val="00BE56C1"/>
    <w:rsid w:val="00BE5744"/>
    <w:rsid w:val="00BE57EC"/>
    <w:rsid w:val="00BE6902"/>
    <w:rsid w:val="00BE6C8E"/>
    <w:rsid w:val="00BE7045"/>
    <w:rsid w:val="00BE799D"/>
    <w:rsid w:val="00BE7BA8"/>
    <w:rsid w:val="00BF0037"/>
    <w:rsid w:val="00BF0332"/>
    <w:rsid w:val="00BF0B08"/>
    <w:rsid w:val="00BF12C6"/>
    <w:rsid w:val="00BF1E65"/>
    <w:rsid w:val="00BF38BE"/>
    <w:rsid w:val="00BF3987"/>
    <w:rsid w:val="00BF3A6F"/>
    <w:rsid w:val="00BF3CFE"/>
    <w:rsid w:val="00BF3EB4"/>
    <w:rsid w:val="00BF3F43"/>
    <w:rsid w:val="00BF447A"/>
    <w:rsid w:val="00BF481C"/>
    <w:rsid w:val="00BF4A9E"/>
    <w:rsid w:val="00BF5025"/>
    <w:rsid w:val="00BF5548"/>
    <w:rsid w:val="00BF5564"/>
    <w:rsid w:val="00BF5CEF"/>
    <w:rsid w:val="00BF62EA"/>
    <w:rsid w:val="00BF659D"/>
    <w:rsid w:val="00BF6F52"/>
    <w:rsid w:val="00BF7189"/>
    <w:rsid w:val="00BF7612"/>
    <w:rsid w:val="00C00178"/>
    <w:rsid w:val="00C002D5"/>
    <w:rsid w:val="00C012A1"/>
    <w:rsid w:val="00C01986"/>
    <w:rsid w:val="00C01A60"/>
    <w:rsid w:val="00C020C6"/>
    <w:rsid w:val="00C02770"/>
    <w:rsid w:val="00C03B79"/>
    <w:rsid w:val="00C03B8E"/>
    <w:rsid w:val="00C042A3"/>
    <w:rsid w:val="00C0451F"/>
    <w:rsid w:val="00C053F2"/>
    <w:rsid w:val="00C0614E"/>
    <w:rsid w:val="00C067F2"/>
    <w:rsid w:val="00C06C54"/>
    <w:rsid w:val="00C06EE8"/>
    <w:rsid w:val="00C07438"/>
    <w:rsid w:val="00C07593"/>
    <w:rsid w:val="00C101CE"/>
    <w:rsid w:val="00C10793"/>
    <w:rsid w:val="00C10F4D"/>
    <w:rsid w:val="00C11190"/>
    <w:rsid w:val="00C117A3"/>
    <w:rsid w:val="00C117C7"/>
    <w:rsid w:val="00C12537"/>
    <w:rsid w:val="00C126CC"/>
    <w:rsid w:val="00C13597"/>
    <w:rsid w:val="00C1382F"/>
    <w:rsid w:val="00C1442B"/>
    <w:rsid w:val="00C14BF3"/>
    <w:rsid w:val="00C14E10"/>
    <w:rsid w:val="00C158E7"/>
    <w:rsid w:val="00C15C5E"/>
    <w:rsid w:val="00C15E13"/>
    <w:rsid w:val="00C169AE"/>
    <w:rsid w:val="00C17800"/>
    <w:rsid w:val="00C20094"/>
    <w:rsid w:val="00C207AE"/>
    <w:rsid w:val="00C2096A"/>
    <w:rsid w:val="00C20D80"/>
    <w:rsid w:val="00C20EEA"/>
    <w:rsid w:val="00C21025"/>
    <w:rsid w:val="00C21AEB"/>
    <w:rsid w:val="00C22255"/>
    <w:rsid w:val="00C22266"/>
    <w:rsid w:val="00C2251A"/>
    <w:rsid w:val="00C226C5"/>
    <w:rsid w:val="00C2286E"/>
    <w:rsid w:val="00C22E6D"/>
    <w:rsid w:val="00C23734"/>
    <w:rsid w:val="00C23BCE"/>
    <w:rsid w:val="00C23BE5"/>
    <w:rsid w:val="00C24E47"/>
    <w:rsid w:val="00C253B6"/>
    <w:rsid w:val="00C25C16"/>
    <w:rsid w:val="00C2602E"/>
    <w:rsid w:val="00C261B6"/>
    <w:rsid w:val="00C2644F"/>
    <w:rsid w:val="00C27534"/>
    <w:rsid w:val="00C306A5"/>
    <w:rsid w:val="00C31DC8"/>
    <w:rsid w:val="00C3223B"/>
    <w:rsid w:val="00C32488"/>
    <w:rsid w:val="00C32851"/>
    <w:rsid w:val="00C3348C"/>
    <w:rsid w:val="00C33A4B"/>
    <w:rsid w:val="00C35BFB"/>
    <w:rsid w:val="00C35D29"/>
    <w:rsid w:val="00C3609B"/>
    <w:rsid w:val="00C362DD"/>
    <w:rsid w:val="00C367BB"/>
    <w:rsid w:val="00C36921"/>
    <w:rsid w:val="00C369A0"/>
    <w:rsid w:val="00C36EA6"/>
    <w:rsid w:val="00C37330"/>
    <w:rsid w:val="00C37A38"/>
    <w:rsid w:val="00C405F2"/>
    <w:rsid w:val="00C40606"/>
    <w:rsid w:val="00C40DB3"/>
    <w:rsid w:val="00C40E0A"/>
    <w:rsid w:val="00C40E8A"/>
    <w:rsid w:val="00C41F38"/>
    <w:rsid w:val="00C42515"/>
    <w:rsid w:val="00C432BA"/>
    <w:rsid w:val="00C43D2F"/>
    <w:rsid w:val="00C4410E"/>
    <w:rsid w:val="00C441E2"/>
    <w:rsid w:val="00C44639"/>
    <w:rsid w:val="00C44C60"/>
    <w:rsid w:val="00C452DD"/>
    <w:rsid w:val="00C45DAE"/>
    <w:rsid w:val="00C45F17"/>
    <w:rsid w:val="00C4605C"/>
    <w:rsid w:val="00C46235"/>
    <w:rsid w:val="00C46C84"/>
    <w:rsid w:val="00C46DE6"/>
    <w:rsid w:val="00C46F16"/>
    <w:rsid w:val="00C4721B"/>
    <w:rsid w:val="00C47430"/>
    <w:rsid w:val="00C4765C"/>
    <w:rsid w:val="00C476FF"/>
    <w:rsid w:val="00C47C99"/>
    <w:rsid w:val="00C50796"/>
    <w:rsid w:val="00C507D1"/>
    <w:rsid w:val="00C5198D"/>
    <w:rsid w:val="00C5200C"/>
    <w:rsid w:val="00C535C9"/>
    <w:rsid w:val="00C53830"/>
    <w:rsid w:val="00C540FC"/>
    <w:rsid w:val="00C54417"/>
    <w:rsid w:val="00C544F6"/>
    <w:rsid w:val="00C546D6"/>
    <w:rsid w:val="00C54C00"/>
    <w:rsid w:val="00C55197"/>
    <w:rsid w:val="00C55382"/>
    <w:rsid w:val="00C554C6"/>
    <w:rsid w:val="00C55736"/>
    <w:rsid w:val="00C55BC4"/>
    <w:rsid w:val="00C55C8C"/>
    <w:rsid w:val="00C56592"/>
    <w:rsid w:val="00C565EF"/>
    <w:rsid w:val="00C57644"/>
    <w:rsid w:val="00C60721"/>
    <w:rsid w:val="00C6079C"/>
    <w:rsid w:val="00C6080E"/>
    <w:rsid w:val="00C60FD8"/>
    <w:rsid w:val="00C61586"/>
    <w:rsid w:val="00C61829"/>
    <w:rsid w:val="00C61EEE"/>
    <w:rsid w:val="00C6201A"/>
    <w:rsid w:val="00C622CC"/>
    <w:rsid w:val="00C629C1"/>
    <w:rsid w:val="00C63254"/>
    <w:rsid w:val="00C6363D"/>
    <w:rsid w:val="00C64CE3"/>
    <w:rsid w:val="00C6513B"/>
    <w:rsid w:val="00C653BE"/>
    <w:rsid w:val="00C6550A"/>
    <w:rsid w:val="00C65964"/>
    <w:rsid w:val="00C6597B"/>
    <w:rsid w:val="00C6664E"/>
    <w:rsid w:val="00C66C62"/>
    <w:rsid w:val="00C67B72"/>
    <w:rsid w:val="00C70469"/>
    <w:rsid w:val="00C705F7"/>
    <w:rsid w:val="00C70805"/>
    <w:rsid w:val="00C70B43"/>
    <w:rsid w:val="00C7142D"/>
    <w:rsid w:val="00C71E10"/>
    <w:rsid w:val="00C72359"/>
    <w:rsid w:val="00C72721"/>
    <w:rsid w:val="00C72782"/>
    <w:rsid w:val="00C72CDE"/>
    <w:rsid w:val="00C72F4F"/>
    <w:rsid w:val="00C72FDD"/>
    <w:rsid w:val="00C73383"/>
    <w:rsid w:val="00C7350F"/>
    <w:rsid w:val="00C73ABF"/>
    <w:rsid w:val="00C73D0A"/>
    <w:rsid w:val="00C73F33"/>
    <w:rsid w:val="00C74691"/>
    <w:rsid w:val="00C7494C"/>
    <w:rsid w:val="00C74EA3"/>
    <w:rsid w:val="00C75233"/>
    <w:rsid w:val="00C752F4"/>
    <w:rsid w:val="00C75379"/>
    <w:rsid w:val="00C75C58"/>
    <w:rsid w:val="00C761B1"/>
    <w:rsid w:val="00C7629B"/>
    <w:rsid w:val="00C767BA"/>
    <w:rsid w:val="00C76A1D"/>
    <w:rsid w:val="00C76AAE"/>
    <w:rsid w:val="00C76D09"/>
    <w:rsid w:val="00C76D74"/>
    <w:rsid w:val="00C77A3A"/>
    <w:rsid w:val="00C77B73"/>
    <w:rsid w:val="00C803BE"/>
    <w:rsid w:val="00C809A2"/>
    <w:rsid w:val="00C810D7"/>
    <w:rsid w:val="00C813BF"/>
    <w:rsid w:val="00C81882"/>
    <w:rsid w:val="00C81A91"/>
    <w:rsid w:val="00C81E31"/>
    <w:rsid w:val="00C8274C"/>
    <w:rsid w:val="00C828AB"/>
    <w:rsid w:val="00C8336C"/>
    <w:rsid w:val="00C83E2B"/>
    <w:rsid w:val="00C84259"/>
    <w:rsid w:val="00C8443D"/>
    <w:rsid w:val="00C8469F"/>
    <w:rsid w:val="00C8472A"/>
    <w:rsid w:val="00C84853"/>
    <w:rsid w:val="00C84F06"/>
    <w:rsid w:val="00C8508E"/>
    <w:rsid w:val="00C85532"/>
    <w:rsid w:val="00C85599"/>
    <w:rsid w:val="00C85EED"/>
    <w:rsid w:val="00C86C29"/>
    <w:rsid w:val="00C8725B"/>
    <w:rsid w:val="00C875BC"/>
    <w:rsid w:val="00C8761C"/>
    <w:rsid w:val="00C87CD2"/>
    <w:rsid w:val="00C87D77"/>
    <w:rsid w:val="00C90CDC"/>
    <w:rsid w:val="00C90E35"/>
    <w:rsid w:val="00C912B3"/>
    <w:rsid w:val="00C91705"/>
    <w:rsid w:val="00C91B1A"/>
    <w:rsid w:val="00C92025"/>
    <w:rsid w:val="00C926D2"/>
    <w:rsid w:val="00C92B13"/>
    <w:rsid w:val="00C92C6F"/>
    <w:rsid w:val="00C932BC"/>
    <w:rsid w:val="00C93374"/>
    <w:rsid w:val="00C93894"/>
    <w:rsid w:val="00C93DF6"/>
    <w:rsid w:val="00C93E43"/>
    <w:rsid w:val="00C93EE3"/>
    <w:rsid w:val="00C940D8"/>
    <w:rsid w:val="00C94E84"/>
    <w:rsid w:val="00C95A08"/>
    <w:rsid w:val="00C95E25"/>
    <w:rsid w:val="00C96054"/>
    <w:rsid w:val="00C96291"/>
    <w:rsid w:val="00C96E4D"/>
    <w:rsid w:val="00C96EB4"/>
    <w:rsid w:val="00C97053"/>
    <w:rsid w:val="00C97070"/>
    <w:rsid w:val="00C9764A"/>
    <w:rsid w:val="00C9794C"/>
    <w:rsid w:val="00CA0132"/>
    <w:rsid w:val="00CA0135"/>
    <w:rsid w:val="00CA05F2"/>
    <w:rsid w:val="00CA0716"/>
    <w:rsid w:val="00CA07C4"/>
    <w:rsid w:val="00CA08D5"/>
    <w:rsid w:val="00CA0AEC"/>
    <w:rsid w:val="00CA10E8"/>
    <w:rsid w:val="00CA12CA"/>
    <w:rsid w:val="00CA15B7"/>
    <w:rsid w:val="00CA23B1"/>
    <w:rsid w:val="00CA32B0"/>
    <w:rsid w:val="00CA345C"/>
    <w:rsid w:val="00CA3516"/>
    <w:rsid w:val="00CA3879"/>
    <w:rsid w:val="00CA3A9B"/>
    <w:rsid w:val="00CA3D69"/>
    <w:rsid w:val="00CA446A"/>
    <w:rsid w:val="00CA4B32"/>
    <w:rsid w:val="00CA4DE9"/>
    <w:rsid w:val="00CA5154"/>
    <w:rsid w:val="00CA5918"/>
    <w:rsid w:val="00CA5AF6"/>
    <w:rsid w:val="00CA5CAF"/>
    <w:rsid w:val="00CA5CE2"/>
    <w:rsid w:val="00CA6976"/>
    <w:rsid w:val="00CA6B58"/>
    <w:rsid w:val="00CA6EBD"/>
    <w:rsid w:val="00CA77F6"/>
    <w:rsid w:val="00CA7B6B"/>
    <w:rsid w:val="00CA7D51"/>
    <w:rsid w:val="00CB06A9"/>
    <w:rsid w:val="00CB08C0"/>
    <w:rsid w:val="00CB099D"/>
    <w:rsid w:val="00CB0D6B"/>
    <w:rsid w:val="00CB1233"/>
    <w:rsid w:val="00CB12F8"/>
    <w:rsid w:val="00CB1BB3"/>
    <w:rsid w:val="00CB1C46"/>
    <w:rsid w:val="00CB29F2"/>
    <w:rsid w:val="00CB2B76"/>
    <w:rsid w:val="00CB2BE9"/>
    <w:rsid w:val="00CB2E3D"/>
    <w:rsid w:val="00CB2F33"/>
    <w:rsid w:val="00CB34DD"/>
    <w:rsid w:val="00CB37F9"/>
    <w:rsid w:val="00CB38BF"/>
    <w:rsid w:val="00CB38E1"/>
    <w:rsid w:val="00CB3A06"/>
    <w:rsid w:val="00CB3EB4"/>
    <w:rsid w:val="00CB403B"/>
    <w:rsid w:val="00CB4134"/>
    <w:rsid w:val="00CB44B0"/>
    <w:rsid w:val="00CB4C68"/>
    <w:rsid w:val="00CB5121"/>
    <w:rsid w:val="00CB5552"/>
    <w:rsid w:val="00CB5718"/>
    <w:rsid w:val="00CB5723"/>
    <w:rsid w:val="00CB735B"/>
    <w:rsid w:val="00CB7808"/>
    <w:rsid w:val="00CB797C"/>
    <w:rsid w:val="00CB7E1D"/>
    <w:rsid w:val="00CC01A9"/>
    <w:rsid w:val="00CC0D10"/>
    <w:rsid w:val="00CC1A4B"/>
    <w:rsid w:val="00CC25F7"/>
    <w:rsid w:val="00CC2963"/>
    <w:rsid w:val="00CC2DBD"/>
    <w:rsid w:val="00CC2F37"/>
    <w:rsid w:val="00CC399C"/>
    <w:rsid w:val="00CC3A27"/>
    <w:rsid w:val="00CC428E"/>
    <w:rsid w:val="00CC442B"/>
    <w:rsid w:val="00CC5D26"/>
    <w:rsid w:val="00CC5D72"/>
    <w:rsid w:val="00CC6334"/>
    <w:rsid w:val="00CC67B0"/>
    <w:rsid w:val="00CC6972"/>
    <w:rsid w:val="00CC6F21"/>
    <w:rsid w:val="00CC71F9"/>
    <w:rsid w:val="00CD0667"/>
    <w:rsid w:val="00CD0B57"/>
    <w:rsid w:val="00CD0FE3"/>
    <w:rsid w:val="00CD15CA"/>
    <w:rsid w:val="00CD342A"/>
    <w:rsid w:val="00CD3E8E"/>
    <w:rsid w:val="00CD4346"/>
    <w:rsid w:val="00CD46C9"/>
    <w:rsid w:val="00CD4ACB"/>
    <w:rsid w:val="00CD4E72"/>
    <w:rsid w:val="00CD5A60"/>
    <w:rsid w:val="00CD6044"/>
    <w:rsid w:val="00CD6334"/>
    <w:rsid w:val="00CD6A76"/>
    <w:rsid w:val="00CD6C11"/>
    <w:rsid w:val="00CD6C87"/>
    <w:rsid w:val="00CD6F1D"/>
    <w:rsid w:val="00CD6F5D"/>
    <w:rsid w:val="00CD7052"/>
    <w:rsid w:val="00CD7128"/>
    <w:rsid w:val="00CD7142"/>
    <w:rsid w:val="00CD76C2"/>
    <w:rsid w:val="00CD7D25"/>
    <w:rsid w:val="00CE049B"/>
    <w:rsid w:val="00CE0587"/>
    <w:rsid w:val="00CE0C5F"/>
    <w:rsid w:val="00CE0C96"/>
    <w:rsid w:val="00CE167A"/>
    <w:rsid w:val="00CE169E"/>
    <w:rsid w:val="00CE16CD"/>
    <w:rsid w:val="00CE1DDC"/>
    <w:rsid w:val="00CE2386"/>
    <w:rsid w:val="00CE2F88"/>
    <w:rsid w:val="00CE3343"/>
    <w:rsid w:val="00CE36A6"/>
    <w:rsid w:val="00CE3A89"/>
    <w:rsid w:val="00CE3E49"/>
    <w:rsid w:val="00CE42BB"/>
    <w:rsid w:val="00CE4942"/>
    <w:rsid w:val="00CE509B"/>
    <w:rsid w:val="00CE5298"/>
    <w:rsid w:val="00CE567B"/>
    <w:rsid w:val="00CE567D"/>
    <w:rsid w:val="00CE5847"/>
    <w:rsid w:val="00CE65F4"/>
    <w:rsid w:val="00CE6C0A"/>
    <w:rsid w:val="00CE6CE2"/>
    <w:rsid w:val="00CE6CF3"/>
    <w:rsid w:val="00CE6D10"/>
    <w:rsid w:val="00CE7449"/>
    <w:rsid w:val="00CE7A04"/>
    <w:rsid w:val="00CF06D0"/>
    <w:rsid w:val="00CF0C8D"/>
    <w:rsid w:val="00CF108A"/>
    <w:rsid w:val="00CF1118"/>
    <w:rsid w:val="00CF1908"/>
    <w:rsid w:val="00CF1CC0"/>
    <w:rsid w:val="00CF1E8B"/>
    <w:rsid w:val="00CF2247"/>
    <w:rsid w:val="00CF2395"/>
    <w:rsid w:val="00CF273F"/>
    <w:rsid w:val="00CF2E34"/>
    <w:rsid w:val="00CF2E5E"/>
    <w:rsid w:val="00CF3038"/>
    <w:rsid w:val="00CF3187"/>
    <w:rsid w:val="00CF3E0D"/>
    <w:rsid w:val="00CF4214"/>
    <w:rsid w:val="00CF5308"/>
    <w:rsid w:val="00CF537C"/>
    <w:rsid w:val="00CF5495"/>
    <w:rsid w:val="00CF5F70"/>
    <w:rsid w:val="00CF66F3"/>
    <w:rsid w:val="00CF67C4"/>
    <w:rsid w:val="00CF6FF5"/>
    <w:rsid w:val="00CF72EE"/>
    <w:rsid w:val="00CF7F08"/>
    <w:rsid w:val="00D00653"/>
    <w:rsid w:val="00D00825"/>
    <w:rsid w:val="00D00F60"/>
    <w:rsid w:val="00D024AF"/>
    <w:rsid w:val="00D029D4"/>
    <w:rsid w:val="00D02B85"/>
    <w:rsid w:val="00D038F1"/>
    <w:rsid w:val="00D03B8D"/>
    <w:rsid w:val="00D03D31"/>
    <w:rsid w:val="00D03EAC"/>
    <w:rsid w:val="00D044AC"/>
    <w:rsid w:val="00D0467A"/>
    <w:rsid w:val="00D04755"/>
    <w:rsid w:val="00D04944"/>
    <w:rsid w:val="00D049D6"/>
    <w:rsid w:val="00D0546C"/>
    <w:rsid w:val="00D05750"/>
    <w:rsid w:val="00D06619"/>
    <w:rsid w:val="00D06797"/>
    <w:rsid w:val="00D07010"/>
    <w:rsid w:val="00D070CC"/>
    <w:rsid w:val="00D074A8"/>
    <w:rsid w:val="00D10380"/>
    <w:rsid w:val="00D109DF"/>
    <w:rsid w:val="00D11546"/>
    <w:rsid w:val="00D12417"/>
    <w:rsid w:val="00D12550"/>
    <w:rsid w:val="00D12801"/>
    <w:rsid w:val="00D12A89"/>
    <w:rsid w:val="00D12EE7"/>
    <w:rsid w:val="00D131E2"/>
    <w:rsid w:val="00D14153"/>
    <w:rsid w:val="00D14FF5"/>
    <w:rsid w:val="00D15743"/>
    <w:rsid w:val="00D157AD"/>
    <w:rsid w:val="00D15D63"/>
    <w:rsid w:val="00D15FE2"/>
    <w:rsid w:val="00D1641C"/>
    <w:rsid w:val="00D169B8"/>
    <w:rsid w:val="00D17BC6"/>
    <w:rsid w:val="00D237B6"/>
    <w:rsid w:val="00D249AD"/>
    <w:rsid w:val="00D249E4"/>
    <w:rsid w:val="00D24B26"/>
    <w:rsid w:val="00D24F87"/>
    <w:rsid w:val="00D2528A"/>
    <w:rsid w:val="00D25E93"/>
    <w:rsid w:val="00D2611E"/>
    <w:rsid w:val="00D266C9"/>
    <w:rsid w:val="00D2687F"/>
    <w:rsid w:val="00D26B7F"/>
    <w:rsid w:val="00D26C02"/>
    <w:rsid w:val="00D272A2"/>
    <w:rsid w:val="00D27691"/>
    <w:rsid w:val="00D2786B"/>
    <w:rsid w:val="00D27978"/>
    <w:rsid w:val="00D27C75"/>
    <w:rsid w:val="00D303B9"/>
    <w:rsid w:val="00D30E34"/>
    <w:rsid w:val="00D30E86"/>
    <w:rsid w:val="00D30F84"/>
    <w:rsid w:val="00D3101C"/>
    <w:rsid w:val="00D310F0"/>
    <w:rsid w:val="00D312BC"/>
    <w:rsid w:val="00D31939"/>
    <w:rsid w:val="00D32374"/>
    <w:rsid w:val="00D32524"/>
    <w:rsid w:val="00D32771"/>
    <w:rsid w:val="00D32775"/>
    <w:rsid w:val="00D32A0D"/>
    <w:rsid w:val="00D32A3B"/>
    <w:rsid w:val="00D32F6D"/>
    <w:rsid w:val="00D33E59"/>
    <w:rsid w:val="00D33FBD"/>
    <w:rsid w:val="00D34FA7"/>
    <w:rsid w:val="00D35269"/>
    <w:rsid w:val="00D353E4"/>
    <w:rsid w:val="00D3584D"/>
    <w:rsid w:val="00D3652A"/>
    <w:rsid w:val="00D36782"/>
    <w:rsid w:val="00D37375"/>
    <w:rsid w:val="00D379B5"/>
    <w:rsid w:val="00D37E2C"/>
    <w:rsid w:val="00D37F5E"/>
    <w:rsid w:val="00D40306"/>
    <w:rsid w:val="00D40378"/>
    <w:rsid w:val="00D4082E"/>
    <w:rsid w:val="00D40E9F"/>
    <w:rsid w:val="00D41011"/>
    <w:rsid w:val="00D41107"/>
    <w:rsid w:val="00D41363"/>
    <w:rsid w:val="00D41A9C"/>
    <w:rsid w:val="00D41E28"/>
    <w:rsid w:val="00D430C8"/>
    <w:rsid w:val="00D43241"/>
    <w:rsid w:val="00D43E4B"/>
    <w:rsid w:val="00D45729"/>
    <w:rsid w:val="00D45F75"/>
    <w:rsid w:val="00D4623A"/>
    <w:rsid w:val="00D462EA"/>
    <w:rsid w:val="00D464BB"/>
    <w:rsid w:val="00D46690"/>
    <w:rsid w:val="00D466BF"/>
    <w:rsid w:val="00D46979"/>
    <w:rsid w:val="00D46AF1"/>
    <w:rsid w:val="00D46B1F"/>
    <w:rsid w:val="00D472EB"/>
    <w:rsid w:val="00D47BFD"/>
    <w:rsid w:val="00D50844"/>
    <w:rsid w:val="00D50F26"/>
    <w:rsid w:val="00D51392"/>
    <w:rsid w:val="00D513D2"/>
    <w:rsid w:val="00D51955"/>
    <w:rsid w:val="00D51C38"/>
    <w:rsid w:val="00D51FFC"/>
    <w:rsid w:val="00D523C0"/>
    <w:rsid w:val="00D532B8"/>
    <w:rsid w:val="00D5353B"/>
    <w:rsid w:val="00D537B0"/>
    <w:rsid w:val="00D5397F"/>
    <w:rsid w:val="00D541E6"/>
    <w:rsid w:val="00D549B7"/>
    <w:rsid w:val="00D54C67"/>
    <w:rsid w:val="00D5544D"/>
    <w:rsid w:val="00D55701"/>
    <w:rsid w:val="00D5607E"/>
    <w:rsid w:val="00D5638C"/>
    <w:rsid w:val="00D564CC"/>
    <w:rsid w:val="00D566A5"/>
    <w:rsid w:val="00D56FD7"/>
    <w:rsid w:val="00D57D04"/>
    <w:rsid w:val="00D57D06"/>
    <w:rsid w:val="00D57DED"/>
    <w:rsid w:val="00D601AC"/>
    <w:rsid w:val="00D6047B"/>
    <w:rsid w:val="00D618BD"/>
    <w:rsid w:val="00D61D39"/>
    <w:rsid w:val="00D61D9A"/>
    <w:rsid w:val="00D628E9"/>
    <w:rsid w:val="00D62E5C"/>
    <w:rsid w:val="00D62E77"/>
    <w:rsid w:val="00D62F84"/>
    <w:rsid w:val="00D637BA"/>
    <w:rsid w:val="00D63B8C"/>
    <w:rsid w:val="00D63ED9"/>
    <w:rsid w:val="00D64B85"/>
    <w:rsid w:val="00D64C7F"/>
    <w:rsid w:val="00D64CBA"/>
    <w:rsid w:val="00D64EFD"/>
    <w:rsid w:val="00D64FF2"/>
    <w:rsid w:val="00D64FF5"/>
    <w:rsid w:val="00D6515C"/>
    <w:rsid w:val="00D65820"/>
    <w:rsid w:val="00D65D0B"/>
    <w:rsid w:val="00D66207"/>
    <w:rsid w:val="00D66A01"/>
    <w:rsid w:val="00D670F7"/>
    <w:rsid w:val="00D672DA"/>
    <w:rsid w:val="00D70B0E"/>
    <w:rsid w:val="00D70BC1"/>
    <w:rsid w:val="00D70D88"/>
    <w:rsid w:val="00D70F87"/>
    <w:rsid w:val="00D71156"/>
    <w:rsid w:val="00D71CA4"/>
    <w:rsid w:val="00D71DF8"/>
    <w:rsid w:val="00D72000"/>
    <w:rsid w:val="00D7241A"/>
    <w:rsid w:val="00D72A98"/>
    <w:rsid w:val="00D72C3F"/>
    <w:rsid w:val="00D7320F"/>
    <w:rsid w:val="00D73848"/>
    <w:rsid w:val="00D73A36"/>
    <w:rsid w:val="00D742F3"/>
    <w:rsid w:val="00D7547D"/>
    <w:rsid w:val="00D763BF"/>
    <w:rsid w:val="00D76549"/>
    <w:rsid w:val="00D76E01"/>
    <w:rsid w:val="00D76F5E"/>
    <w:rsid w:val="00D770CD"/>
    <w:rsid w:val="00D77B4B"/>
    <w:rsid w:val="00D802A6"/>
    <w:rsid w:val="00D8059F"/>
    <w:rsid w:val="00D80ADB"/>
    <w:rsid w:val="00D80D61"/>
    <w:rsid w:val="00D80EF2"/>
    <w:rsid w:val="00D81BF7"/>
    <w:rsid w:val="00D820BD"/>
    <w:rsid w:val="00D822AD"/>
    <w:rsid w:val="00D824AD"/>
    <w:rsid w:val="00D824C4"/>
    <w:rsid w:val="00D82840"/>
    <w:rsid w:val="00D8301A"/>
    <w:rsid w:val="00D8302B"/>
    <w:rsid w:val="00D83B88"/>
    <w:rsid w:val="00D83BD3"/>
    <w:rsid w:val="00D83CB1"/>
    <w:rsid w:val="00D83EB1"/>
    <w:rsid w:val="00D84A34"/>
    <w:rsid w:val="00D84D15"/>
    <w:rsid w:val="00D8500C"/>
    <w:rsid w:val="00D85465"/>
    <w:rsid w:val="00D85852"/>
    <w:rsid w:val="00D85899"/>
    <w:rsid w:val="00D86275"/>
    <w:rsid w:val="00D86A54"/>
    <w:rsid w:val="00D87500"/>
    <w:rsid w:val="00D8765A"/>
    <w:rsid w:val="00D9006C"/>
    <w:rsid w:val="00D9069C"/>
    <w:rsid w:val="00D9089B"/>
    <w:rsid w:val="00D909C1"/>
    <w:rsid w:val="00D90A52"/>
    <w:rsid w:val="00D90C36"/>
    <w:rsid w:val="00D91B25"/>
    <w:rsid w:val="00D91F4F"/>
    <w:rsid w:val="00D92600"/>
    <w:rsid w:val="00D92997"/>
    <w:rsid w:val="00D93C48"/>
    <w:rsid w:val="00D9435E"/>
    <w:rsid w:val="00D949C2"/>
    <w:rsid w:val="00D94D57"/>
    <w:rsid w:val="00D954AC"/>
    <w:rsid w:val="00D95591"/>
    <w:rsid w:val="00D9563C"/>
    <w:rsid w:val="00D95974"/>
    <w:rsid w:val="00D9651B"/>
    <w:rsid w:val="00D96928"/>
    <w:rsid w:val="00D96D2A"/>
    <w:rsid w:val="00D974EB"/>
    <w:rsid w:val="00DA05C1"/>
    <w:rsid w:val="00DA1176"/>
    <w:rsid w:val="00DA13FD"/>
    <w:rsid w:val="00DA15EE"/>
    <w:rsid w:val="00DA1970"/>
    <w:rsid w:val="00DA2287"/>
    <w:rsid w:val="00DA2365"/>
    <w:rsid w:val="00DA24DA"/>
    <w:rsid w:val="00DA2D28"/>
    <w:rsid w:val="00DA2D71"/>
    <w:rsid w:val="00DA31CF"/>
    <w:rsid w:val="00DA31F2"/>
    <w:rsid w:val="00DA34F3"/>
    <w:rsid w:val="00DA3656"/>
    <w:rsid w:val="00DA3EA7"/>
    <w:rsid w:val="00DA402D"/>
    <w:rsid w:val="00DA4460"/>
    <w:rsid w:val="00DA5A28"/>
    <w:rsid w:val="00DA5C64"/>
    <w:rsid w:val="00DA5EE2"/>
    <w:rsid w:val="00DA5FF8"/>
    <w:rsid w:val="00DA64F8"/>
    <w:rsid w:val="00DA784A"/>
    <w:rsid w:val="00DB000B"/>
    <w:rsid w:val="00DB0744"/>
    <w:rsid w:val="00DB07B3"/>
    <w:rsid w:val="00DB10A2"/>
    <w:rsid w:val="00DB12A5"/>
    <w:rsid w:val="00DB13C0"/>
    <w:rsid w:val="00DB1883"/>
    <w:rsid w:val="00DB1ED1"/>
    <w:rsid w:val="00DB20FF"/>
    <w:rsid w:val="00DB2243"/>
    <w:rsid w:val="00DB2623"/>
    <w:rsid w:val="00DB2D86"/>
    <w:rsid w:val="00DB3CE3"/>
    <w:rsid w:val="00DB506B"/>
    <w:rsid w:val="00DB5315"/>
    <w:rsid w:val="00DB6322"/>
    <w:rsid w:val="00DB668A"/>
    <w:rsid w:val="00DB66A4"/>
    <w:rsid w:val="00DB6A78"/>
    <w:rsid w:val="00DB7013"/>
    <w:rsid w:val="00DB75D5"/>
    <w:rsid w:val="00DB79E0"/>
    <w:rsid w:val="00DB7D75"/>
    <w:rsid w:val="00DB7DEC"/>
    <w:rsid w:val="00DB7E1B"/>
    <w:rsid w:val="00DC0A72"/>
    <w:rsid w:val="00DC0B53"/>
    <w:rsid w:val="00DC13F1"/>
    <w:rsid w:val="00DC226A"/>
    <w:rsid w:val="00DC289B"/>
    <w:rsid w:val="00DC32C3"/>
    <w:rsid w:val="00DC3BCB"/>
    <w:rsid w:val="00DC4CB9"/>
    <w:rsid w:val="00DC532D"/>
    <w:rsid w:val="00DC564A"/>
    <w:rsid w:val="00DC6036"/>
    <w:rsid w:val="00DC67C5"/>
    <w:rsid w:val="00DC681A"/>
    <w:rsid w:val="00DC6E7D"/>
    <w:rsid w:val="00DC7751"/>
    <w:rsid w:val="00DC7BF8"/>
    <w:rsid w:val="00DD05CA"/>
    <w:rsid w:val="00DD09C0"/>
    <w:rsid w:val="00DD1AC8"/>
    <w:rsid w:val="00DD2093"/>
    <w:rsid w:val="00DD24C4"/>
    <w:rsid w:val="00DD279C"/>
    <w:rsid w:val="00DD2919"/>
    <w:rsid w:val="00DD302A"/>
    <w:rsid w:val="00DD3A16"/>
    <w:rsid w:val="00DD3B1D"/>
    <w:rsid w:val="00DD4249"/>
    <w:rsid w:val="00DD44E7"/>
    <w:rsid w:val="00DD45B9"/>
    <w:rsid w:val="00DD4856"/>
    <w:rsid w:val="00DD4E00"/>
    <w:rsid w:val="00DD4F64"/>
    <w:rsid w:val="00DD504D"/>
    <w:rsid w:val="00DD5BE1"/>
    <w:rsid w:val="00DD5DB8"/>
    <w:rsid w:val="00DD64C5"/>
    <w:rsid w:val="00DD67B6"/>
    <w:rsid w:val="00DD6A2C"/>
    <w:rsid w:val="00DD6BCA"/>
    <w:rsid w:val="00DD7E55"/>
    <w:rsid w:val="00DE0334"/>
    <w:rsid w:val="00DE0AA6"/>
    <w:rsid w:val="00DE0CA2"/>
    <w:rsid w:val="00DE0F87"/>
    <w:rsid w:val="00DE1284"/>
    <w:rsid w:val="00DE15F4"/>
    <w:rsid w:val="00DE18F6"/>
    <w:rsid w:val="00DE2834"/>
    <w:rsid w:val="00DE36C8"/>
    <w:rsid w:val="00DE3A4D"/>
    <w:rsid w:val="00DE3EF1"/>
    <w:rsid w:val="00DE45AB"/>
    <w:rsid w:val="00DE477A"/>
    <w:rsid w:val="00DE47C6"/>
    <w:rsid w:val="00DE4809"/>
    <w:rsid w:val="00DE4A4F"/>
    <w:rsid w:val="00DE4FF3"/>
    <w:rsid w:val="00DE5A59"/>
    <w:rsid w:val="00DE62F4"/>
    <w:rsid w:val="00DE68A1"/>
    <w:rsid w:val="00DE69BF"/>
    <w:rsid w:val="00DE6B74"/>
    <w:rsid w:val="00DE6CD5"/>
    <w:rsid w:val="00DE6F92"/>
    <w:rsid w:val="00DE71D4"/>
    <w:rsid w:val="00DF05DB"/>
    <w:rsid w:val="00DF170F"/>
    <w:rsid w:val="00DF1773"/>
    <w:rsid w:val="00DF185F"/>
    <w:rsid w:val="00DF22DF"/>
    <w:rsid w:val="00DF22E6"/>
    <w:rsid w:val="00DF28C8"/>
    <w:rsid w:val="00DF2D1F"/>
    <w:rsid w:val="00DF2F08"/>
    <w:rsid w:val="00DF40B1"/>
    <w:rsid w:val="00DF4284"/>
    <w:rsid w:val="00DF47A6"/>
    <w:rsid w:val="00DF4BED"/>
    <w:rsid w:val="00DF5568"/>
    <w:rsid w:val="00DF5850"/>
    <w:rsid w:val="00DF6255"/>
    <w:rsid w:val="00DF636A"/>
    <w:rsid w:val="00DF6599"/>
    <w:rsid w:val="00DF67C1"/>
    <w:rsid w:val="00DF6BF9"/>
    <w:rsid w:val="00DF75D3"/>
    <w:rsid w:val="00DF7666"/>
    <w:rsid w:val="00DF7737"/>
    <w:rsid w:val="00DF7B7F"/>
    <w:rsid w:val="00DF7DAF"/>
    <w:rsid w:val="00E00492"/>
    <w:rsid w:val="00E008E0"/>
    <w:rsid w:val="00E0098F"/>
    <w:rsid w:val="00E009DA"/>
    <w:rsid w:val="00E00CC9"/>
    <w:rsid w:val="00E00E60"/>
    <w:rsid w:val="00E012CA"/>
    <w:rsid w:val="00E016BF"/>
    <w:rsid w:val="00E02366"/>
    <w:rsid w:val="00E02A89"/>
    <w:rsid w:val="00E02E29"/>
    <w:rsid w:val="00E0312C"/>
    <w:rsid w:val="00E032C6"/>
    <w:rsid w:val="00E03666"/>
    <w:rsid w:val="00E04359"/>
    <w:rsid w:val="00E04CCB"/>
    <w:rsid w:val="00E074EC"/>
    <w:rsid w:val="00E07567"/>
    <w:rsid w:val="00E100F5"/>
    <w:rsid w:val="00E1014D"/>
    <w:rsid w:val="00E103A7"/>
    <w:rsid w:val="00E11707"/>
    <w:rsid w:val="00E11F63"/>
    <w:rsid w:val="00E123F4"/>
    <w:rsid w:val="00E12600"/>
    <w:rsid w:val="00E12BB3"/>
    <w:rsid w:val="00E131CC"/>
    <w:rsid w:val="00E1386C"/>
    <w:rsid w:val="00E13BFD"/>
    <w:rsid w:val="00E13DBE"/>
    <w:rsid w:val="00E14737"/>
    <w:rsid w:val="00E14A88"/>
    <w:rsid w:val="00E156AA"/>
    <w:rsid w:val="00E15A0B"/>
    <w:rsid w:val="00E162CE"/>
    <w:rsid w:val="00E16600"/>
    <w:rsid w:val="00E16701"/>
    <w:rsid w:val="00E167F7"/>
    <w:rsid w:val="00E16971"/>
    <w:rsid w:val="00E16A17"/>
    <w:rsid w:val="00E16AC4"/>
    <w:rsid w:val="00E16F74"/>
    <w:rsid w:val="00E1777C"/>
    <w:rsid w:val="00E178B7"/>
    <w:rsid w:val="00E20014"/>
    <w:rsid w:val="00E2015F"/>
    <w:rsid w:val="00E202BD"/>
    <w:rsid w:val="00E20BBD"/>
    <w:rsid w:val="00E22050"/>
    <w:rsid w:val="00E2209F"/>
    <w:rsid w:val="00E2211F"/>
    <w:rsid w:val="00E22178"/>
    <w:rsid w:val="00E22334"/>
    <w:rsid w:val="00E22FF5"/>
    <w:rsid w:val="00E237EF"/>
    <w:rsid w:val="00E23866"/>
    <w:rsid w:val="00E24C34"/>
    <w:rsid w:val="00E25115"/>
    <w:rsid w:val="00E25401"/>
    <w:rsid w:val="00E259BC"/>
    <w:rsid w:val="00E25E56"/>
    <w:rsid w:val="00E26673"/>
    <w:rsid w:val="00E2667A"/>
    <w:rsid w:val="00E2675A"/>
    <w:rsid w:val="00E26B75"/>
    <w:rsid w:val="00E26E76"/>
    <w:rsid w:val="00E2740D"/>
    <w:rsid w:val="00E27A95"/>
    <w:rsid w:val="00E30CC1"/>
    <w:rsid w:val="00E30DFA"/>
    <w:rsid w:val="00E30E00"/>
    <w:rsid w:val="00E31427"/>
    <w:rsid w:val="00E31484"/>
    <w:rsid w:val="00E314A8"/>
    <w:rsid w:val="00E31813"/>
    <w:rsid w:val="00E31AC5"/>
    <w:rsid w:val="00E32958"/>
    <w:rsid w:val="00E3318E"/>
    <w:rsid w:val="00E33193"/>
    <w:rsid w:val="00E3387A"/>
    <w:rsid w:val="00E344BE"/>
    <w:rsid w:val="00E345F6"/>
    <w:rsid w:val="00E34D13"/>
    <w:rsid w:val="00E34DA8"/>
    <w:rsid w:val="00E35C94"/>
    <w:rsid w:val="00E36477"/>
    <w:rsid w:val="00E36597"/>
    <w:rsid w:val="00E376FA"/>
    <w:rsid w:val="00E37CA1"/>
    <w:rsid w:val="00E40228"/>
    <w:rsid w:val="00E40430"/>
    <w:rsid w:val="00E40659"/>
    <w:rsid w:val="00E40756"/>
    <w:rsid w:val="00E408A8"/>
    <w:rsid w:val="00E40EF0"/>
    <w:rsid w:val="00E41899"/>
    <w:rsid w:val="00E41D91"/>
    <w:rsid w:val="00E4259A"/>
    <w:rsid w:val="00E43B7D"/>
    <w:rsid w:val="00E43CC9"/>
    <w:rsid w:val="00E43D42"/>
    <w:rsid w:val="00E43DAF"/>
    <w:rsid w:val="00E441B4"/>
    <w:rsid w:val="00E4493B"/>
    <w:rsid w:val="00E44BC2"/>
    <w:rsid w:val="00E44CD1"/>
    <w:rsid w:val="00E450CA"/>
    <w:rsid w:val="00E45580"/>
    <w:rsid w:val="00E45C48"/>
    <w:rsid w:val="00E46642"/>
    <w:rsid w:val="00E475B6"/>
    <w:rsid w:val="00E47785"/>
    <w:rsid w:val="00E47AA4"/>
    <w:rsid w:val="00E50BED"/>
    <w:rsid w:val="00E50DFF"/>
    <w:rsid w:val="00E512BC"/>
    <w:rsid w:val="00E51865"/>
    <w:rsid w:val="00E518CC"/>
    <w:rsid w:val="00E52715"/>
    <w:rsid w:val="00E52A0B"/>
    <w:rsid w:val="00E53CCE"/>
    <w:rsid w:val="00E54BD3"/>
    <w:rsid w:val="00E55097"/>
    <w:rsid w:val="00E556D9"/>
    <w:rsid w:val="00E558FD"/>
    <w:rsid w:val="00E55942"/>
    <w:rsid w:val="00E559CE"/>
    <w:rsid w:val="00E55A62"/>
    <w:rsid w:val="00E56702"/>
    <w:rsid w:val="00E56939"/>
    <w:rsid w:val="00E569A7"/>
    <w:rsid w:val="00E56A98"/>
    <w:rsid w:val="00E57844"/>
    <w:rsid w:val="00E605F4"/>
    <w:rsid w:val="00E60967"/>
    <w:rsid w:val="00E60AA4"/>
    <w:rsid w:val="00E60C30"/>
    <w:rsid w:val="00E61820"/>
    <w:rsid w:val="00E61AB6"/>
    <w:rsid w:val="00E61B1E"/>
    <w:rsid w:val="00E61DEA"/>
    <w:rsid w:val="00E62247"/>
    <w:rsid w:val="00E62860"/>
    <w:rsid w:val="00E62AF4"/>
    <w:rsid w:val="00E6313A"/>
    <w:rsid w:val="00E63D10"/>
    <w:rsid w:val="00E63DFC"/>
    <w:rsid w:val="00E64230"/>
    <w:rsid w:val="00E6458C"/>
    <w:rsid w:val="00E65232"/>
    <w:rsid w:val="00E653EE"/>
    <w:rsid w:val="00E655EC"/>
    <w:rsid w:val="00E65F2C"/>
    <w:rsid w:val="00E6607E"/>
    <w:rsid w:val="00E66326"/>
    <w:rsid w:val="00E669B2"/>
    <w:rsid w:val="00E66CAB"/>
    <w:rsid w:val="00E6738D"/>
    <w:rsid w:val="00E6747B"/>
    <w:rsid w:val="00E67619"/>
    <w:rsid w:val="00E67AE5"/>
    <w:rsid w:val="00E701CE"/>
    <w:rsid w:val="00E701F8"/>
    <w:rsid w:val="00E71168"/>
    <w:rsid w:val="00E71DB7"/>
    <w:rsid w:val="00E71F6C"/>
    <w:rsid w:val="00E7201C"/>
    <w:rsid w:val="00E720E2"/>
    <w:rsid w:val="00E72DC9"/>
    <w:rsid w:val="00E73099"/>
    <w:rsid w:val="00E73AE2"/>
    <w:rsid w:val="00E743A2"/>
    <w:rsid w:val="00E765C9"/>
    <w:rsid w:val="00E7698A"/>
    <w:rsid w:val="00E76CF8"/>
    <w:rsid w:val="00E76D8D"/>
    <w:rsid w:val="00E771B9"/>
    <w:rsid w:val="00E7756A"/>
    <w:rsid w:val="00E776A8"/>
    <w:rsid w:val="00E77911"/>
    <w:rsid w:val="00E7799A"/>
    <w:rsid w:val="00E779D1"/>
    <w:rsid w:val="00E77B03"/>
    <w:rsid w:val="00E806EC"/>
    <w:rsid w:val="00E82BA4"/>
    <w:rsid w:val="00E82DB1"/>
    <w:rsid w:val="00E82DC3"/>
    <w:rsid w:val="00E837F9"/>
    <w:rsid w:val="00E843D1"/>
    <w:rsid w:val="00E84667"/>
    <w:rsid w:val="00E848F5"/>
    <w:rsid w:val="00E85066"/>
    <w:rsid w:val="00E8520C"/>
    <w:rsid w:val="00E853A3"/>
    <w:rsid w:val="00E8560D"/>
    <w:rsid w:val="00E85828"/>
    <w:rsid w:val="00E86239"/>
    <w:rsid w:val="00E86911"/>
    <w:rsid w:val="00E87122"/>
    <w:rsid w:val="00E8783A"/>
    <w:rsid w:val="00E9062D"/>
    <w:rsid w:val="00E90B43"/>
    <w:rsid w:val="00E90CB2"/>
    <w:rsid w:val="00E91083"/>
    <w:rsid w:val="00E91628"/>
    <w:rsid w:val="00E9193E"/>
    <w:rsid w:val="00E927E8"/>
    <w:rsid w:val="00E928A6"/>
    <w:rsid w:val="00E92CBA"/>
    <w:rsid w:val="00E934C9"/>
    <w:rsid w:val="00E9377F"/>
    <w:rsid w:val="00E94A1A"/>
    <w:rsid w:val="00E94A6B"/>
    <w:rsid w:val="00E9506A"/>
    <w:rsid w:val="00E95188"/>
    <w:rsid w:val="00E9555E"/>
    <w:rsid w:val="00E9570B"/>
    <w:rsid w:val="00E95BB7"/>
    <w:rsid w:val="00E95EE1"/>
    <w:rsid w:val="00E96AAE"/>
    <w:rsid w:val="00E96B1A"/>
    <w:rsid w:val="00E9796B"/>
    <w:rsid w:val="00E97A99"/>
    <w:rsid w:val="00EA056B"/>
    <w:rsid w:val="00EA09E5"/>
    <w:rsid w:val="00EA0DDD"/>
    <w:rsid w:val="00EA1DC9"/>
    <w:rsid w:val="00EA1F88"/>
    <w:rsid w:val="00EA2BD4"/>
    <w:rsid w:val="00EA3103"/>
    <w:rsid w:val="00EA3790"/>
    <w:rsid w:val="00EA4200"/>
    <w:rsid w:val="00EA4273"/>
    <w:rsid w:val="00EA4359"/>
    <w:rsid w:val="00EA43AD"/>
    <w:rsid w:val="00EA4531"/>
    <w:rsid w:val="00EA4F6D"/>
    <w:rsid w:val="00EA5137"/>
    <w:rsid w:val="00EA51CB"/>
    <w:rsid w:val="00EA5ACB"/>
    <w:rsid w:val="00EA5BE0"/>
    <w:rsid w:val="00EA7DD1"/>
    <w:rsid w:val="00EB0BD3"/>
    <w:rsid w:val="00EB1653"/>
    <w:rsid w:val="00EB1927"/>
    <w:rsid w:val="00EB1BD1"/>
    <w:rsid w:val="00EB2159"/>
    <w:rsid w:val="00EB2259"/>
    <w:rsid w:val="00EB3433"/>
    <w:rsid w:val="00EB3556"/>
    <w:rsid w:val="00EB385C"/>
    <w:rsid w:val="00EB463F"/>
    <w:rsid w:val="00EB46BC"/>
    <w:rsid w:val="00EB4937"/>
    <w:rsid w:val="00EB50FD"/>
    <w:rsid w:val="00EB54C1"/>
    <w:rsid w:val="00EB5972"/>
    <w:rsid w:val="00EB5C43"/>
    <w:rsid w:val="00EB5D69"/>
    <w:rsid w:val="00EB60A3"/>
    <w:rsid w:val="00EB6497"/>
    <w:rsid w:val="00EB71D1"/>
    <w:rsid w:val="00EB77D3"/>
    <w:rsid w:val="00EB7C91"/>
    <w:rsid w:val="00EB7E54"/>
    <w:rsid w:val="00EC0B1B"/>
    <w:rsid w:val="00EC0C87"/>
    <w:rsid w:val="00EC107F"/>
    <w:rsid w:val="00EC234A"/>
    <w:rsid w:val="00EC23E7"/>
    <w:rsid w:val="00EC2626"/>
    <w:rsid w:val="00EC2B30"/>
    <w:rsid w:val="00EC2CCE"/>
    <w:rsid w:val="00EC340C"/>
    <w:rsid w:val="00EC3B6F"/>
    <w:rsid w:val="00EC3CB8"/>
    <w:rsid w:val="00EC3EE6"/>
    <w:rsid w:val="00EC4E93"/>
    <w:rsid w:val="00EC5632"/>
    <w:rsid w:val="00EC5A04"/>
    <w:rsid w:val="00EC6742"/>
    <w:rsid w:val="00EC6826"/>
    <w:rsid w:val="00EC6972"/>
    <w:rsid w:val="00EC6997"/>
    <w:rsid w:val="00EC6A5B"/>
    <w:rsid w:val="00EC6F48"/>
    <w:rsid w:val="00EC71EE"/>
    <w:rsid w:val="00EC731D"/>
    <w:rsid w:val="00EC79F5"/>
    <w:rsid w:val="00ED0901"/>
    <w:rsid w:val="00ED12B4"/>
    <w:rsid w:val="00ED133D"/>
    <w:rsid w:val="00ED1584"/>
    <w:rsid w:val="00ED17D9"/>
    <w:rsid w:val="00ED19E9"/>
    <w:rsid w:val="00ED1D72"/>
    <w:rsid w:val="00ED2193"/>
    <w:rsid w:val="00ED244A"/>
    <w:rsid w:val="00ED2D34"/>
    <w:rsid w:val="00ED34CE"/>
    <w:rsid w:val="00ED368B"/>
    <w:rsid w:val="00ED4690"/>
    <w:rsid w:val="00ED5C67"/>
    <w:rsid w:val="00ED5CBF"/>
    <w:rsid w:val="00ED60AB"/>
    <w:rsid w:val="00ED6937"/>
    <w:rsid w:val="00ED6C1E"/>
    <w:rsid w:val="00ED7376"/>
    <w:rsid w:val="00ED7E40"/>
    <w:rsid w:val="00EE0054"/>
    <w:rsid w:val="00EE0BE3"/>
    <w:rsid w:val="00EE105C"/>
    <w:rsid w:val="00EE196B"/>
    <w:rsid w:val="00EE1C3B"/>
    <w:rsid w:val="00EE2E3C"/>
    <w:rsid w:val="00EE2F74"/>
    <w:rsid w:val="00EE3D92"/>
    <w:rsid w:val="00EE403E"/>
    <w:rsid w:val="00EE4175"/>
    <w:rsid w:val="00EE4547"/>
    <w:rsid w:val="00EE4ABA"/>
    <w:rsid w:val="00EE4EAE"/>
    <w:rsid w:val="00EE55CD"/>
    <w:rsid w:val="00EE6263"/>
    <w:rsid w:val="00EE6A34"/>
    <w:rsid w:val="00EE6AB2"/>
    <w:rsid w:val="00EE6E00"/>
    <w:rsid w:val="00EE73CB"/>
    <w:rsid w:val="00EE7862"/>
    <w:rsid w:val="00EF0FEA"/>
    <w:rsid w:val="00EF1D56"/>
    <w:rsid w:val="00EF203D"/>
    <w:rsid w:val="00EF20D9"/>
    <w:rsid w:val="00EF3924"/>
    <w:rsid w:val="00EF449E"/>
    <w:rsid w:val="00EF6111"/>
    <w:rsid w:val="00EF6A0D"/>
    <w:rsid w:val="00EF6A8E"/>
    <w:rsid w:val="00EF6B3B"/>
    <w:rsid w:val="00F00D69"/>
    <w:rsid w:val="00F01337"/>
    <w:rsid w:val="00F014CE"/>
    <w:rsid w:val="00F0196F"/>
    <w:rsid w:val="00F01992"/>
    <w:rsid w:val="00F02232"/>
    <w:rsid w:val="00F02241"/>
    <w:rsid w:val="00F023C1"/>
    <w:rsid w:val="00F0315F"/>
    <w:rsid w:val="00F03548"/>
    <w:rsid w:val="00F0374F"/>
    <w:rsid w:val="00F03D4F"/>
    <w:rsid w:val="00F03E31"/>
    <w:rsid w:val="00F04736"/>
    <w:rsid w:val="00F0520D"/>
    <w:rsid w:val="00F05235"/>
    <w:rsid w:val="00F05675"/>
    <w:rsid w:val="00F056E5"/>
    <w:rsid w:val="00F05ACE"/>
    <w:rsid w:val="00F05BD0"/>
    <w:rsid w:val="00F05F39"/>
    <w:rsid w:val="00F06514"/>
    <w:rsid w:val="00F06709"/>
    <w:rsid w:val="00F06790"/>
    <w:rsid w:val="00F071AE"/>
    <w:rsid w:val="00F07799"/>
    <w:rsid w:val="00F079F6"/>
    <w:rsid w:val="00F07EC9"/>
    <w:rsid w:val="00F10B57"/>
    <w:rsid w:val="00F10CF4"/>
    <w:rsid w:val="00F10EAB"/>
    <w:rsid w:val="00F1120E"/>
    <w:rsid w:val="00F11261"/>
    <w:rsid w:val="00F1130C"/>
    <w:rsid w:val="00F117E3"/>
    <w:rsid w:val="00F11802"/>
    <w:rsid w:val="00F11A59"/>
    <w:rsid w:val="00F11E9F"/>
    <w:rsid w:val="00F131BB"/>
    <w:rsid w:val="00F13681"/>
    <w:rsid w:val="00F136DD"/>
    <w:rsid w:val="00F13926"/>
    <w:rsid w:val="00F139F9"/>
    <w:rsid w:val="00F1408A"/>
    <w:rsid w:val="00F14337"/>
    <w:rsid w:val="00F14753"/>
    <w:rsid w:val="00F156C2"/>
    <w:rsid w:val="00F158B8"/>
    <w:rsid w:val="00F15D04"/>
    <w:rsid w:val="00F15D8D"/>
    <w:rsid w:val="00F164F5"/>
    <w:rsid w:val="00F16540"/>
    <w:rsid w:val="00F165C5"/>
    <w:rsid w:val="00F168F9"/>
    <w:rsid w:val="00F169C4"/>
    <w:rsid w:val="00F16D97"/>
    <w:rsid w:val="00F17091"/>
    <w:rsid w:val="00F17293"/>
    <w:rsid w:val="00F17864"/>
    <w:rsid w:val="00F178DE"/>
    <w:rsid w:val="00F17A45"/>
    <w:rsid w:val="00F17AEF"/>
    <w:rsid w:val="00F17B6F"/>
    <w:rsid w:val="00F17EC8"/>
    <w:rsid w:val="00F2096A"/>
    <w:rsid w:val="00F20FA3"/>
    <w:rsid w:val="00F21312"/>
    <w:rsid w:val="00F21396"/>
    <w:rsid w:val="00F2151F"/>
    <w:rsid w:val="00F215E3"/>
    <w:rsid w:val="00F21FC7"/>
    <w:rsid w:val="00F223BA"/>
    <w:rsid w:val="00F22696"/>
    <w:rsid w:val="00F22832"/>
    <w:rsid w:val="00F22CE6"/>
    <w:rsid w:val="00F23248"/>
    <w:rsid w:val="00F23515"/>
    <w:rsid w:val="00F23742"/>
    <w:rsid w:val="00F24834"/>
    <w:rsid w:val="00F24D81"/>
    <w:rsid w:val="00F254AA"/>
    <w:rsid w:val="00F25EFD"/>
    <w:rsid w:val="00F26932"/>
    <w:rsid w:val="00F272FE"/>
    <w:rsid w:val="00F27B65"/>
    <w:rsid w:val="00F31712"/>
    <w:rsid w:val="00F32A5D"/>
    <w:rsid w:val="00F32D87"/>
    <w:rsid w:val="00F330BE"/>
    <w:rsid w:val="00F336BA"/>
    <w:rsid w:val="00F34147"/>
    <w:rsid w:val="00F34235"/>
    <w:rsid w:val="00F34886"/>
    <w:rsid w:val="00F35312"/>
    <w:rsid w:val="00F35807"/>
    <w:rsid w:val="00F35FD7"/>
    <w:rsid w:val="00F3645B"/>
    <w:rsid w:val="00F3666D"/>
    <w:rsid w:val="00F36ABB"/>
    <w:rsid w:val="00F36B71"/>
    <w:rsid w:val="00F36E26"/>
    <w:rsid w:val="00F372E6"/>
    <w:rsid w:val="00F37395"/>
    <w:rsid w:val="00F37944"/>
    <w:rsid w:val="00F37D3F"/>
    <w:rsid w:val="00F4036F"/>
    <w:rsid w:val="00F4054B"/>
    <w:rsid w:val="00F409F9"/>
    <w:rsid w:val="00F40E26"/>
    <w:rsid w:val="00F410FD"/>
    <w:rsid w:val="00F41194"/>
    <w:rsid w:val="00F416B6"/>
    <w:rsid w:val="00F41A44"/>
    <w:rsid w:val="00F425DF"/>
    <w:rsid w:val="00F44CC1"/>
    <w:rsid w:val="00F4580E"/>
    <w:rsid w:val="00F458C6"/>
    <w:rsid w:val="00F466A5"/>
    <w:rsid w:val="00F468EB"/>
    <w:rsid w:val="00F4723B"/>
    <w:rsid w:val="00F4742E"/>
    <w:rsid w:val="00F50683"/>
    <w:rsid w:val="00F50AF2"/>
    <w:rsid w:val="00F50C89"/>
    <w:rsid w:val="00F512FF"/>
    <w:rsid w:val="00F5148B"/>
    <w:rsid w:val="00F5174C"/>
    <w:rsid w:val="00F518B3"/>
    <w:rsid w:val="00F520DB"/>
    <w:rsid w:val="00F521FD"/>
    <w:rsid w:val="00F5394A"/>
    <w:rsid w:val="00F539B0"/>
    <w:rsid w:val="00F53A2E"/>
    <w:rsid w:val="00F53A8F"/>
    <w:rsid w:val="00F53AC0"/>
    <w:rsid w:val="00F53C8B"/>
    <w:rsid w:val="00F53E06"/>
    <w:rsid w:val="00F53EB3"/>
    <w:rsid w:val="00F548DF"/>
    <w:rsid w:val="00F551D4"/>
    <w:rsid w:val="00F567D6"/>
    <w:rsid w:val="00F568C2"/>
    <w:rsid w:val="00F575C4"/>
    <w:rsid w:val="00F576ED"/>
    <w:rsid w:val="00F57A79"/>
    <w:rsid w:val="00F6020C"/>
    <w:rsid w:val="00F603BD"/>
    <w:rsid w:val="00F603F4"/>
    <w:rsid w:val="00F6075F"/>
    <w:rsid w:val="00F60894"/>
    <w:rsid w:val="00F608E6"/>
    <w:rsid w:val="00F60947"/>
    <w:rsid w:val="00F60BB5"/>
    <w:rsid w:val="00F61730"/>
    <w:rsid w:val="00F61F0B"/>
    <w:rsid w:val="00F624D1"/>
    <w:rsid w:val="00F62E07"/>
    <w:rsid w:val="00F63010"/>
    <w:rsid w:val="00F63433"/>
    <w:rsid w:val="00F63A25"/>
    <w:rsid w:val="00F64C32"/>
    <w:rsid w:val="00F64F5C"/>
    <w:rsid w:val="00F6509D"/>
    <w:rsid w:val="00F65181"/>
    <w:rsid w:val="00F65200"/>
    <w:rsid w:val="00F65223"/>
    <w:rsid w:val="00F65AF7"/>
    <w:rsid w:val="00F65C14"/>
    <w:rsid w:val="00F6657D"/>
    <w:rsid w:val="00F666D4"/>
    <w:rsid w:val="00F66943"/>
    <w:rsid w:val="00F66F14"/>
    <w:rsid w:val="00F67408"/>
    <w:rsid w:val="00F6750D"/>
    <w:rsid w:val="00F675B3"/>
    <w:rsid w:val="00F67609"/>
    <w:rsid w:val="00F67696"/>
    <w:rsid w:val="00F70802"/>
    <w:rsid w:val="00F7090D"/>
    <w:rsid w:val="00F7153D"/>
    <w:rsid w:val="00F71EFE"/>
    <w:rsid w:val="00F72179"/>
    <w:rsid w:val="00F7221D"/>
    <w:rsid w:val="00F722A9"/>
    <w:rsid w:val="00F727E4"/>
    <w:rsid w:val="00F729D7"/>
    <w:rsid w:val="00F73DAA"/>
    <w:rsid w:val="00F73F6D"/>
    <w:rsid w:val="00F741C6"/>
    <w:rsid w:val="00F74736"/>
    <w:rsid w:val="00F75270"/>
    <w:rsid w:val="00F75F15"/>
    <w:rsid w:val="00F75FB0"/>
    <w:rsid w:val="00F7659D"/>
    <w:rsid w:val="00F765FE"/>
    <w:rsid w:val="00F76AF9"/>
    <w:rsid w:val="00F7762C"/>
    <w:rsid w:val="00F77890"/>
    <w:rsid w:val="00F77BD8"/>
    <w:rsid w:val="00F80072"/>
    <w:rsid w:val="00F80361"/>
    <w:rsid w:val="00F8051C"/>
    <w:rsid w:val="00F805E1"/>
    <w:rsid w:val="00F808BD"/>
    <w:rsid w:val="00F80BDF"/>
    <w:rsid w:val="00F810CF"/>
    <w:rsid w:val="00F817A1"/>
    <w:rsid w:val="00F826EC"/>
    <w:rsid w:val="00F82A03"/>
    <w:rsid w:val="00F83720"/>
    <w:rsid w:val="00F83CA6"/>
    <w:rsid w:val="00F84004"/>
    <w:rsid w:val="00F84335"/>
    <w:rsid w:val="00F84396"/>
    <w:rsid w:val="00F846A5"/>
    <w:rsid w:val="00F84BC8"/>
    <w:rsid w:val="00F8525B"/>
    <w:rsid w:val="00F85317"/>
    <w:rsid w:val="00F853A9"/>
    <w:rsid w:val="00F858A7"/>
    <w:rsid w:val="00F86038"/>
    <w:rsid w:val="00F86C4B"/>
    <w:rsid w:val="00F86D7F"/>
    <w:rsid w:val="00F8703F"/>
    <w:rsid w:val="00F87449"/>
    <w:rsid w:val="00F90177"/>
    <w:rsid w:val="00F903B1"/>
    <w:rsid w:val="00F9043D"/>
    <w:rsid w:val="00F90597"/>
    <w:rsid w:val="00F91C35"/>
    <w:rsid w:val="00F91FA6"/>
    <w:rsid w:val="00F92456"/>
    <w:rsid w:val="00F925BA"/>
    <w:rsid w:val="00F92CCC"/>
    <w:rsid w:val="00F92D37"/>
    <w:rsid w:val="00F931E9"/>
    <w:rsid w:val="00F93289"/>
    <w:rsid w:val="00F93368"/>
    <w:rsid w:val="00F93F31"/>
    <w:rsid w:val="00F940F8"/>
    <w:rsid w:val="00F94EB3"/>
    <w:rsid w:val="00F9543A"/>
    <w:rsid w:val="00F957DB"/>
    <w:rsid w:val="00F95A91"/>
    <w:rsid w:val="00F95DBE"/>
    <w:rsid w:val="00F95E5D"/>
    <w:rsid w:val="00F96289"/>
    <w:rsid w:val="00F96E71"/>
    <w:rsid w:val="00F976E8"/>
    <w:rsid w:val="00FA104B"/>
    <w:rsid w:val="00FA11CE"/>
    <w:rsid w:val="00FA1A45"/>
    <w:rsid w:val="00FA1D2A"/>
    <w:rsid w:val="00FA29F2"/>
    <w:rsid w:val="00FA2B1D"/>
    <w:rsid w:val="00FA2DFF"/>
    <w:rsid w:val="00FA326F"/>
    <w:rsid w:val="00FA332E"/>
    <w:rsid w:val="00FA3BB1"/>
    <w:rsid w:val="00FA53D4"/>
    <w:rsid w:val="00FA55F7"/>
    <w:rsid w:val="00FA573F"/>
    <w:rsid w:val="00FA5885"/>
    <w:rsid w:val="00FA59FA"/>
    <w:rsid w:val="00FA6176"/>
    <w:rsid w:val="00FA6606"/>
    <w:rsid w:val="00FA6A54"/>
    <w:rsid w:val="00FA6A70"/>
    <w:rsid w:val="00FA7A11"/>
    <w:rsid w:val="00FA7CCE"/>
    <w:rsid w:val="00FA7D1D"/>
    <w:rsid w:val="00FA7FC0"/>
    <w:rsid w:val="00FB0267"/>
    <w:rsid w:val="00FB037F"/>
    <w:rsid w:val="00FB04CE"/>
    <w:rsid w:val="00FB0706"/>
    <w:rsid w:val="00FB153D"/>
    <w:rsid w:val="00FB18AD"/>
    <w:rsid w:val="00FB1BA2"/>
    <w:rsid w:val="00FB2015"/>
    <w:rsid w:val="00FB2CBC"/>
    <w:rsid w:val="00FB3067"/>
    <w:rsid w:val="00FB3247"/>
    <w:rsid w:val="00FB3764"/>
    <w:rsid w:val="00FB3B66"/>
    <w:rsid w:val="00FB3F96"/>
    <w:rsid w:val="00FB50AE"/>
    <w:rsid w:val="00FB52D8"/>
    <w:rsid w:val="00FB572E"/>
    <w:rsid w:val="00FB5BB0"/>
    <w:rsid w:val="00FB6AC0"/>
    <w:rsid w:val="00FB7A4A"/>
    <w:rsid w:val="00FC0200"/>
    <w:rsid w:val="00FC0352"/>
    <w:rsid w:val="00FC0635"/>
    <w:rsid w:val="00FC1DA4"/>
    <w:rsid w:val="00FC1E07"/>
    <w:rsid w:val="00FC1FAD"/>
    <w:rsid w:val="00FC27E0"/>
    <w:rsid w:val="00FC2934"/>
    <w:rsid w:val="00FC29CB"/>
    <w:rsid w:val="00FC2F5B"/>
    <w:rsid w:val="00FC2FA6"/>
    <w:rsid w:val="00FC34DF"/>
    <w:rsid w:val="00FC3EFC"/>
    <w:rsid w:val="00FC4134"/>
    <w:rsid w:val="00FC4DF4"/>
    <w:rsid w:val="00FC4EC3"/>
    <w:rsid w:val="00FC549F"/>
    <w:rsid w:val="00FC54B6"/>
    <w:rsid w:val="00FC580F"/>
    <w:rsid w:val="00FC5BDB"/>
    <w:rsid w:val="00FC5EB2"/>
    <w:rsid w:val="00FC63AD"/>
    <w:rsid w:val="00FC641C"/>
    <w:rsid w:val="00FC690F"/>
    <w:rsid w:val="00FC6A57"/>
    <w:rsid w:val="00FC7037"/>
    <w:rsid w:val="00FD06A5"/>
    <w:rsid w:val="00FD14A1"/>
    <w:rsid w:val="00FD1597"/>
    <w:rsid w:val="00FD184B"/>
    <w:rsid w:val="00FD1929"/>
    <w:rsid w:val="00FD1BB4"/>
    <w:rsid w:val="00FD2D86"/>
    <w:rsid w:val="00FD31DB"/>
    <w:rsid w:val="00FD334C"/>
    <w:rsid w:val="00FD3565"/>
    <w:rsid w:val="00FD41EF"/>
    <w:rsid w:val="00FD4BDA"/>
    <w:rsid w:val="00FD5225"/>
    <w:rsid w:val="00FD6439"/>
    <w:rsid w:val="00FD64CF"/>
    <w:rsid w:val="00FD67AE"/>
    <w:rsid w:val="00FD729C"/>
    <w:rsid w:val="00FD73F0"/>
    <w:rsid w:val="00FD767D"/>
    <w:rsid w:val="00FD7AC1"/>
    <w:rsid w:val="00FE047C"/>
    <w:rsid w:val="00FE0AE3"/>
    <w:rsid w:val="00FE0B91"/>
    <w:rsid w:val="00FE22B3"/>
    <w:rsid w:val="00FE2419"/>
    <w:rsid w:val="00FE28FC"/>
    <w:rsid w:val="00FE2DC3"/>
    <w:rsid w:val="00FE3108"/>
    <w:rsid w:val="00FE36B1"/>
    <w:rsid w:val="00FE3B3E"/>
    <w:rsid w:val="00FE4425"/>
    <w:rsid w:val="00FE47DF"/>
    <w:rsid w:val="00FE4B42"/>
    <w:rsid w:val="00FE4BB1"/>
    <w:rsid w:val="00FE50AE"/>
    <w:rsid w:val="00FE5140"/>
    <w:rsid w:val="00FE61FC"/>
    <w:rsid w:val="00FE67BD"/>
    <w:rsid w:val="00FE6D15"/>
    <w:rsid w:val="00FE761B"/>
    <w:rsid w:val="00FE7EDB"/>
    <w:rsid w:val="00FE7FFB"/>
    <w:rsid w:val="00FF04E8"/>
    <w:rsid w:val="00FF131E"/>
    <w:rsid w:val="00FF172E"/>
    <w:rsid w:val="00FF1CA0"/>
    <w:rsid w:val="00FF1D13"/>
    <w:rsid w:val="00FF261E"/>
    <w:rsid w:val="00FF2ADF"/>
    <w:rsid w:val="00FF2EC3"/>
    <w:rsid w:val="00FF334D"/>
    <w:rsid w:val="00FF3907"/>
    <w:rsid w:val="00FF42D7"/>
    <w:rsid w:val="00FF4475"/>
    <w:rsid w:val="00FF463C"/>
    <w:rsid w:val="00FF4EE2"/>
    <w:rsid w:val="00FF5452"/>
    <w:rsid w:val="00FF652D"/>
    <w:rsid w:val="00FF65E1"/>
    <w:rsid w:val="00FF6D34"/>
    <w:rsid w:val="00FF6D51"/>
    <w:rsid w:val="00FF70CF"/>
    <w:rsid w:val="00FF7218"/>
    <w:rsid w:val="00FF729A"/>
    <w:rsid w:val="00FF79A4"/>
    <w:rsid w:val="00FF7CE2"/>
    <w:rsid w:val="00FF7CEE"/>
    <w:rsid w:val="19F1C3BA"/>
    <w:rsid w:val="5E4BB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D80E2"/>
  <w15:chartTrackingRefBased/>
  <w15:docId w15:val="{E8CEC210-C577-4291-AD16-FF01FD358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5" w:semiHidden="1"/>
    <w:lsdException w:name="toc 6" w:semiHidden="1"/>
    <w:lsdException w:name="toc 7" w:semiHidden="1"/>
    <w:lsdException w:name="toc 8" w:semiHidden="1"/>
    <w:lsdException w:name="toc 9" w:semiHidden="1"/>
    <w:lsdException w:name="Normal Indent" w:semiHidden="1"/>
    <w:lsdException w:name="header" w:semiHidden="1" w:unhideWhenUsed="1"/>
    <w:lsdException w:name="footer" w:semiHidden="1" w:unhideWhenUsed="1"/>
    <w:lsdException w:name="caption" w:semiHidden="1" w:unhideWhenUsed="1"/>
    <w:lsdException w:name="table of figures" w:semiHidden="1"/>
    <w:lsdException w:name="line number" w:semiHidden="1"/>
    <w:lsdException w:name="page number" w:semiHidden="1"/>
    <w:lsdException w:name="table of authorities" w:semiHidden="1"/>
    <w:lsdException w:name="toa heading" w:semiHidden="1"/>
    <w:lsdException w:name="List" w:semiHidden="1" w:unhideWhenUsed="1"/>
    <w:lsdException w:name="List Bullet" w:semiHidden="1" w:unhideWhenUsed="1" w:qFormat="1"/>
    <w:lsdException w:name="List Number" w:semiHidden="1" w:unhideWhenUsed="1" w:qFormat="1"/>
    <w:lsdException w:name="List Bullet 2" w:semiHidden="1" w:unhideWhenUsed="1" w:qFormat="1"/>
    <w:lsdException w:name="List Bullet 3" w:semiHidden="1" w:unhideWhenUsed="1" w:qFormat="1"/>
    <w:lsdException w:name="List Number 2" w:semiHidden="1" w:unhideWhenUsed="1" w:qFormat="1"/>
    <w:lsdException w:name="List Number 3" w:qFormat="1"/>
    <w:lsdException w:name="Title" w:qFormat="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qFormat="1"/>
    <w:lsdException w:name="List Continue 4" w:semiHidden="1"/>
    <w:lsdException w:name="List Continue 5" w:semiHidden="1"/>
    <w:lsdException w:name="Message Header"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Quote" w:qFormat="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ibliography" w:semiHidden="1" w:unhideWhenUsed="1" w:qFormat="1"/>
    <w:lsdException w:name="TOC Heading" w:semiHidden="1" w:unhideWhenUsed="1"/>
    <w:lsdException w:name="Mention" w:semiHidden="1"/>
    <w:lsdException w:name="Smart Hyperlink" w:semiHidden="1"/>
    <w:lsdException w:name="Hashtag" w:semiHidden="1"/>
    <w:lsdException w:name="Smart Link" w:semiHidden="1" w:unhideWhenUsed="1"/>
  </w:latentStyles>
  <w:style w:type="paragraph" w:default="1" w:styleId="Normal">
    <w:name w:val="Normal"/>
    <w:semiHidden/>
    <w:rsid w:val="00767B43"/>
    <w:pPr>
      <w:spacing w:after="180" w:line="300" w:lineRule="atLeast"/>
    </w:pPr>
    <w:rPr>
      <w:sz w:val="20"/>
    </w:rPr>
  </w:style>
  <w:style w:type="paragraph" w:styleId="Heading1">
    <w:name w:val="heading 1"/>
    <w:basedOn w:val="Normal"/>
    <w:next w:val="Normal"/>
    <w:link w:val="Heading1Char"/>
    <w:semiHidden/>
    <w:rsid w:val="00DC0A72"/>
    <w:pPr>
      <w:keepNext/>
      <w:keepLines/>
      <w:spacing w:before="240" w:after="0"/>
      <w:outlineLvl w:val="0"/>
    </w:pPr>
    <w:rPr>
      <w:rFonts w:asciiTheme="majorHAnsi" w:eastAsiaTheme="majorEastAsia" w:hAnsiTheme="majorHAnsi" w:cstheme="majorBidi"/>
      <w:color w:val="081E36" w:themeColor="accent1" w:themeShade="BF"/>
      <w:sz w:val="32"/>
      <w:szCs w:val="32"/>
    </w:rPr>
  </w:style>
  <w:style w:type="paragraph" w:styleId="Heading2">
    <w:name w:val="heading 2"/>
    <w:basedOn w:val="Normal"/>
    <w:next w:val="Normal"/>
    <w:link w:val="Heading2Char"/>
    <w:semiHidden/>
    <w:rsid w:val="00DC0A72"/>
    <w:pPr>
      <w:keepNext/>
      <w:keepLines/>
      <w:numPr>
        <w:ilvl w:val="1"/>
        <w:numId w:val="16"/>
      </w:numPr>
      <w:spacing w:before="40" w:after="0"/>
      <w:outlineLvl w:val="1"/>
    </w:pPr>
    <w:rPr>
      <w:rFonts w:asciiTheme="majorHAnsi" w:eastAsiaTheme="majorEastAsia" w:hAnsiTheme="majorHAnsi" w:cstheme="majorBidi"/>
      <w:color w:val="081E36" w:themeColor="accent1" w:themeShade="BF"/>
      <w:sz w:val="26"/>
      <w:szCs w:val="26"/>
    </w:rPr>
  </w:style>
  <w:style w:type="paragraph" w:styleId="Heading3">
    <w:name w:val="heading 3"/>
    <w:basedOn w:val="Normal"/>
    <w:next w:val="Normal"/>
    <w:link w:val="Heading3Char"/>
    <w:semiHidden/>
    <w:rsid w:val="00DC0A72"/>
    <w:pPr>
      <w:keepNext/>
      <w:keepLines/>
      <w:numPr>
        <w:ilvl w:val="2"/>
        <w:numId w:val="16"/>
      </w:numPr>
      <w:spacing w:before="40" w:after="0"/>
      <w:outlineLvl w:val="2"/>
    </w:pPr>
    <w:rPr>
      <w:rFonts w:asciiTheme="majorHAnsi" w:eastAsiaTheme="majorEastAsia" w:hAnsiTheme="majorHAnsi" w:cstheme="majorBidi"/>
      <w:color w:val="051424" w:themeColor="accent1" w:themeShade="7F"/>
      <w:sz w:val="24"/>
      <w:szCs w:val="24"/>
    </w:rPr>
  </w:style>
  <w:style w:type="paragraph" w:styleId="Heading4">
    <w:name w:val="heading 4"/>
    <w:basedOn w:val="Normal"/>
    <w:next w:val="Normal"/>
    <w:link w:val="Heading4Char"/>
    <w:semiHidden/>
    <w:rsid w:val="00DC0A72"/>
    <w:pPr>
      <w:keepNext/>
      <w:keepLines/>
      <w:numPr>
        <w:ilvl w:val="3"/>
        <w:numId w:val="16"/>
      </w:numPr>
      <w:spacing w:before="40" w:after="0"/>
      <w:outlineLvl w:val="3"/>
    </w:pPr>
    <w:rPr>
      <w:rFonts w:asciiTheme="majorHAnsi" w:eastAsiaTheme="majorEastAsia" w:hAnsiTheme="majorHAnsi" w:cstheme="majorBidi"/>
      <w:i/>
      <w:iCs/>
      <w:color w:val="081E36" w:themeColor="accent1" w:themeShade="BF"/>
    </w:rPr>
  </w:style>
  <w:style w:type="paragraph" w:styleId="Heading5">
    <w:name w:val="heading 5"/>
    <w:basedOn w:val="Normal"/>
    <w:next w:val="Normal"/>
    <w:link w:val="Heading5Char"/>
    <w:semiHidden/>
    <w:rsid w:val="00DC0A72"/>
    <w:pPr>
      <w:keepNext/>
      <w:keepLines/>
      <w:numPr>
        <w:ilvl w:val="4"/>
        <w:numId w:val="16"/>
      </w:numPr>
      <w:spacing w:before="40" w:after="0"/>
      <w:outlineLvl w:val="4"/>
    </w:pPr>
    <w:rPr>
      <w:rFonts w:asciiTheme="majorHAnsi" w:eastAsiaTheme="majorEastAsia" w:hAnsiTheme="majorHAnsi" w:cstheme="majorBidi"/>
      <w:color w:val="081E36" w:themeColor="accent1" w:themeShade="BF"/>
    </w:rPr>
  </w:style>
  <w:style w:type="paragraph" w:styleId="Heading6">
    <w:name w:val="heading 6"/>
    <w:basedOn w:val="Normal"/>
    <w:next w:val="Normal"/>
    <w:link w:val="Heading6Char"/>
    <w:semiHidden/>
    <w:rsid w:val="00DC0A72"/>
    <w:pPr>
      <w:keepNext/>
      <w:keepLines/>
      <w:numPr>
        <w:ilvl w:val="5"/>
        <w:numId w:val="16"/>
      </w:numPr>
      <w:spacing w:before="40" w:after="0"/>
      <w:outlineLvl w:val="5"/>
    </w:pPr>
    <w:rPr>
      <w:rFonts w:asciiTheme="majorHAnsi" w:eastAsiaTheme="majorEastAsia" w:hAnsiTheme="majorHAnsi" w:cstheme="majorBidi"/>
      <w:color w:val="051424" w:themeColor="accent1" w:themeShade="7F"/>
    </w:rPr>
  </w:style>
  <w:style w:type="paragraph" w:styleId="Heading7">
    <w:name w:val="heading 7"/>
    <w:basedOn w:val="Normal"/>
    <w:next w:val="Normal"/>
    <w:link w:val="Heading7Char"/>
    <w:semiHidden/>
    <w:rsid w:val="00DC0A72"/>
    <w:pPr>
      <w:keepNext/>
      <w:keepLines/>
      <w:numPr>
        <w:ilvl w:val="6"/>
        <w:numId w:val="16"/>
      </w:numPr>
      <w:spacing w:before="40" w:after="0"/>
      <w:outlineLvl w:val="6"/>
    </w:pPr>
    <w:rPr>
      <w:rFonts w:asciiTheme="majorHAnsi" w:eastAsiaTheme="majorEastAsia" w:hAnsiTheme="majorHAnsi" w:cstheme="majorBidi"/>
      <w:i/>
      <w:iCs/>
      <w:color w:val="051424" w:themeColor="accent1" w:themeShade="7F"/>
    </w:rPr>
  </w:style>
  <w:style w:type="paragraph" w:styleId="Heading8">
    <w:name w:val="heading 8"/>
    <w:basedOn w:val="Normal"/>
    <w:next w:val="Normal"/>
    <w:link w:val="Heading8Char"/>
    <w:semiHidden/>
    <w:rsid w:val="00DC0A72"/>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rsid w:val="00DC0A72"/>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Left">
    <w:name w:val="Table Text Left"/>
    <w:qFormat/>
    <w:rsid w:val="00DC0A72"/>
    <w:pPr>
      <w:spacing w:before="40" w:after="20" w:line="240" w:lineRule="atLeast"/>
    </w:pPr>
    <w:rPr>
      <w:rFonts w:asciiTheme="majorHAnsi" w:hAnsiTheme="majorHAnsi"/>
      <w:color w:val="000000" w:themeColor="text1"/>
      <w:sz w:val="18"/>
    </w:rPr>
  </w:style>
  <w:style w:type="paragraph" w:customStyle="1" w:styleId="Paragraph">
    <w:name w:val="Paragraph"/>
    <w:basedOn w:val="Normal"/>
    <w:qFormat/>
    <w:rsid w:val="005924F2"/>
  </w:style>
  <w:style w:type="paragraph" w:customStyle="1" w:styleId="ParagraphContinued">
    <w:name w:val="Paragraph Continued"/>
    <w:basedOn w:val="Paragraph"/>
    <w:next w:val="Paragraph"/>
    <w:qFormat/>
    <w:rsid w:val="00DC0A72"/>
    <w:pPr>
      <w:spacing w:before="180"/>
    </w:pPr>
  </w:style>
  <w:style w:type="character" w:customStyle="1" w:styleId="Heading1Char">
    <w:name w:val="Heading 1 Char"/>
    <w:basedOn w:val="DefaultParagraphFont"/>
    <w:link w:val="Heading1"/>
    <w:semiHidden/>
    <w:rsid w:val="00DC0A72"/>
    <w:rPr>
      <w:rFonts w:asciiTheme="majorHAnsi" w:eastAsiaTheme="majorEastAsia" w:hAnsiTheme="majorHAnsi" w:cstheme="majorBidi"/>
      <w:color w:val="081E36" w:themeColor="accent1" w:themeShade="BF"/>
      <w:sz w:val="32"/>
      <w:szCs w:val="32"/>
    </w:rPr>
  </w:style>
  <w:style w:type="paragraph" w:customStyle="1" w:styleId="H1">
    <w:name w:val="H1"/>
    <w:basedOn w:val="Heading1"/>
    <w:next w:val="Paragraph"/>
    <w:link w:val="H1Char"/>
    <w:qFormat/>
    <w:rsid w:val="00DC0A72"/>
    <w:pPr>
      <w:spacing w:before="180" w:after="60" w:line="360" w:lineRule="atLeast"/>
      <w:ind w:left="432" w:hanging="432"/>
      <w:outlineLvl w:val="1"/>
    </w:pPr>
    <w:rPr>
      <w:color w:val="046B5C" w:themeColor="text2"/>
      <w:sz w:val="30"/>
    </w:rPr>
  </w:style>
  <w:style w:type="paragraph" w:styleId="ListBullet">
    <w:name w:val="List Bullet"/>
    <w:basedOn w:val="Normal"/>
    <w:qFormat/>
    <w:rsid w:val="00DC0A72"/>
    <w:pPr>
      <w:numPr>
        <w:numId w:val="36"/>
      </w:numPr>
      <w:spacing w:after="100"/>
      <w:ind w:left="187" w:hanging="187"/>
    </w:pPr>
  </w:style>
  <w:style w:type="paragraph" w:styleId="ListNumber">
    <w:name w:val="List Number"/>
    <w:basedOn w:val="Normal"/>
    <w:qFormat/>
    <w:rsid w:val="00DC0A72"/>
    <w:pPr>
      <w:numPr>
        <w:numId w:val="38"/>
      </w:numPr>
      <w:adjustRightInd w:val="0"/>
      <w:spacing w:after="80"/>
    </w:pPr>
  </w:style>
  <w:style w:type="paragraph" w:styleId="BalloonText">
    <w:name w:val="Balloon Text"/>
    <w:basedOn w:val="Normal"/>
    <w:link w:val="BalloonTextChar"/>
    <w:semiHidden/>
    <w:rsid w:val="00DC0A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C0A72"/>
    <w:rPr>
      <w:rFonts w:ascii="Segoe UI" w:hAnsi="Segoe UI" w:cs="Segoe UI"/>
      <w:sz w:val="18"/>
      <w:szCs w:val="18"/>
    </w:rPr>
  </w:style>
  <w:style w:type="table" w:styleId="GridTable2-Accent1">
    <w:name w:val="Grid Table 2 Accent 1"/>
    <w:basedOn w:val="TableNormal"/>
    <w:rsid w:val="00DC0A72"/>
    <w:pPr>
      <w:spacing w:after="0" w:line="240" w:lineRule="auto"/>
    </w:pPr>
    <w:tblPr>
      <w:tblStyleRowBandSize w:val="1"/>
      <w:tblStyleColBandSize w:val="1"/>
      <w:tblBorders>
        <w:top w:val="single" w:sz="2" w:space="0" w:color="217BDD" w:themeColor="accent1" w:themeTint="99"/>
        <w:bottom w:val="single" w:sz="2" w:space="0" w:color="217BDD" w:themeColor="accent1" w:themeTint="99"/>
        <w:insideH w:val="single" w:sz="2" w:space="0" w:color="217BDD" w:themeColor="accent1" w:themeTint="99"/>
        <w:insideV w:val="single" w:sz="2" w:space="0" w:color="217BDD" w:themeColor="accent1" w:themeTint="99"/>
      </w:tblBorders>
    </w:tblPr>
    <w:tblStylePr w:type="firstRow">
      <w:rPr>
        <w:b/>
        <w:bCs/>
      </w:rPr>
      <w:tblPr/>
      <w:tcPr>
        <w:tcBorders>
          <w:top w:val="nil"/>
          <w:bottom w:val="single" w:sz="12" w:space="0" w:color="217BDD" w:themeColor="accent1" w:themeTint="99"/>
          <w:insideH w:val="nil"/>
          <w:insideV w:val="nil"/>
        </w:tcBorders>
        <w:shd w:val="clear" w:color="auto" w:fill="FFFFFF" w:themeFill="background1"/>
      </w:tcPr>
    </w:tblStylePr>
    <w:tblStylePr w:type="lastRow">
      <w:rPr>
        <w:b/>
        <w:bCs/>
      </w:rPr>
      <w:tblPr/>
      <w:tcPr>
        <w:tcBorders>
          <w:top w:val="double" w:sz="2" w:space="0" w:color="217BDD"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table" w:styleId="GridTable4-Accent1">
    <w:name w:val="Grid Table 4 Accent 1"/>
    <w:basedOn w:val="TableNormal"/>
    <w:rsid w:val="00DC0A72"/>
    <w:pPr>
      <w:spacing w:after="0" w:line="240" w:lineRule="auto"/>
    </w:pPr>
    <w:tblPr>
      <w:tblStyleRowBandSize w:val="1"/>
      <w:tblStyleColBandSize w:val="1"/>
      <w:tblBorders>
        <w:top w:val="single" w:sz="4" w:space="0" w:color="217BDD" w:themeColor="accent1" w:themeTint="99"/>
        <w:left w:val="single" w:sz="4" w:space="0" w:color="217BDD" w:themeColor="accent1" w:themeTint="99"/>
        <w:bottom w:val="single" w:sz="4" w:space="0" w:color="217BDD" w:themeColor="accent1" w:themeTint="99"/>
        <w:right w:val="single" w:sz="4" w:space="0" w:color="217BDD" w:themeColor="accent1" w:themeTint="99"/>
        <w:insideH w:val="single" w:sz="4" w:space="0" w:color="217BDD" w:themeColor="accent1" w:themeTint="99"/>
        <w:insideV w:val="single" w:sz="4" w:space="0" w:color="217BDD" w:themeColor="accent1" w:themeTint="99"/>
      </w:tblBorders>
    </w:tblPr>
    <w:tblStylePr w:type="firstRow">
      <w:rPr>
        <w:b/>
        <w:bCs/>
        <w:color w:val="FFFFFF" w:themeColor="background1"/>
      </w:rPr>
      <w:tblPr/>
      <w:tcPr>
        <w:tcBorders>
          <w:top w:val="single" w:sz="4" w:space="0" w:color="0B2949" w:themeColor="accent1"/>
          <w:left w:val="single" w:sz="4" w:space="0" w:color="0B2949" w:themeColor="accent1"/>
          <w:bottom w:val="single" w:sz="4" w:space="0" w:color="0B2949" w:themeColor="accent1"/>
          <w:right w:val="single" w:sz="4" w:space="0" w:color="0B2949" w:themeColor="accent1"/>
          <w:insideH w:val="nil"/>
          <w:insideV w:val="nil"/>
        </w:tcBorders>
        <w:shd w:val="clear" w:color="auto" w:fill="0B2949" w:themeFill="accent1"/>
      </w:tcPr>
    </w:tblStylePr>
    <w:tblStylePr w:type="lastRow">
      <w:rPr>
        <w:b/>
        <w:bCs/>
      </w:rPr>
      <w:tblPr/>
      <w:tcPr>
        <w:tcBorders>
          <w:top w:val="double" w:sz="4" w:space="0" w:color="0B2949" w:themeColor="accent1"/>
        </w:tcBorders>
      </w:tc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paragraph" w:styleId="Header">
    <w:name w:val="header"/>
    <w:basedOn w:val="Normal"/>
    <w:link w:val="HeaderChar"/>
    <w:semiHidden/>
    <w:rsid w:val="00DC0A72"/>
    <w:pPr>
      <w:pBdr>
        <w:bottom w:val="single" w:sz="6" w:space="6" w:color="auto"/>
      </w:pBdr>
      <w:tabs>
        <w:tab w:val="right" w:pos="10080"/>
      </w:tabs>
      <w:spacing w:after="0" w:line="240" w:lineRule="auto"/>
      <w:ind w:left="-720" w:right="-720"/>
    </w:pPr>
    <w:rPr>
      <w:rFonts w:asciiTheme="majorHAnsi" w:hAnsiTheme="majorHAnsi"/>
      <w:sz w:val="18"/>
    </w:rPr>
  </w:style>
  <w:style w:type="character" w:customStyle="1" w:styleId="HeaderChar">
    <w:name w:val="Header Char"/>
    <w:basedOn w:val="DefaultParagraphFont"/>
    <w:link w:val="Header"/>
    <w:semiHidden/>
    <w:rsid w:val="00DC0A72"/>
    <w:rPr>
      <w:rFonts w:asciiTheme="majorHAnsi" w:hAnsiTheme="majorHAnsi"/>
      <w:sz w:val="18"/>
    </w:rPr>
  </w:style>
  <w:style w:type="paragraph" w:styleId="Footer">
    <w:name w:val="footer"/>
    <w:basedOn w:val="Normal"/>
    <w:link w:val="FooterChar"/>
    <w:semiHidden/>
    <w:rsid w:val="00DC0A72"/>
    <w:pPr>
      <w:tabs>
        <w:tab w:val="right" w:pos="10080"/>
      </w:tabs>
      <w:spacing w:before="120" w:after="0" w:line="240" w:lineRule="auto"/>
      <w:ind w:left="-720" w:right="-720"/>
    </w:pPr>
    <w:rPr>
      <w:rFonts w:asciiTheme="majorHAnsi" w:hAnsiTheme="majorHAnsi"/>
      <w:sz w:val="18"/>
    </w:rPr>
  </w:style>
  <w:style w:type="character" w:customStyle="1" w:styleId="FooterChar">
    <w:name w:val="Footer Char"/>
    <w:basedOn w:val="DefaultParagraphFont"/>
    <w:link w:val="Footer"/>
    <w:semiHidden/>
    <w:rsid w:val="00DC0A72"/>
    <w:rPr>
      <w:rFonts w:asciiTheme="majorHAnsi" w:hAnsiTheme="majorHAnsi"/>
      <w:sz w:val="18"/>
    </w:rPr>
  </w:style>
  <w:style w:type="paragraph" w:styleId="Title">
    <w:name w:val="Title"/>
    <w:basedOn w:val="Normal"/>
    <w:next w:val="Paragraph"/>
    <w:link w:val="TitleChar"/>
    <w:qFormat/>
    <w:rsid w:val="00DC0A72"/>
    <w:pPr>
      <w:keepNext/>
      <w:keepLines/>
      <w:spacing w:after="120" w:line="440" w:lineRule="atLeast"/>
      <w:outlineLvl w:val="0"/>
    </w:pPr>
    <w:rPr>
      <w:rFonts w:asciiTheme="majorHAnsi" w:eastAsiaTheme="majorEastAsia" w:hAnsiTheme="majorHAnsi" w:cstheme="majorBidi"/>
      <w:b/>
      <w:color w:val="0B2949" w:themeColor="accent1"/>
      <w:spacing w:val="-10"/>
      <w:kern w:val="28"/>
      <w:sz w:val="40"/>
      <w:szCs w:val="56"/>
    </w:rPr>
  </w:style>
  <w:style w:type="character" w:customStyle="1" w:styleId="TitleChar">
    <w:name w:val="Title Char"/>
    <w:basedOn w:val="DefaultParagraphFont"/>
    <w:link w:val="Title"/>
    <w:rsid w:val="00DC0A72"/>
    <w:rPr>
      <w:rFonts w:asciiTheme="majorHAnsi" w:eastAsiaTheme="majorEastAsia" w:hAnsiTheme="majorHAnsi" w:cstheme="majorBidi"/>
      <w:b/>
      <w:color w:val="0B2949" w:themeColor="accent1"/>
      <w:spacing w:val="-10"/>
      <w:kern w:val="28"/>
      <w:sz w:val="40"/>
      <w:szCs w:val="56"/>
    </w:rPr>
  </w:style>
  <w:style w:type="paragraph" w:styleId="ListNumber2">
    <w:name w:val="List Number 2"/>
    <w:basedOn w:val="Normal"/>
    <w:qFormat/>
    <w:rsid w:val="00DC0A72"/>
    <w:pPr>
      <w:numPr>
        <w:numId w:val="8"/>
      </w:numPr>
      <w:adjustRightInd w:val="0"/>
      <w:spacing w:after="80"/>
    </w:pPr>
  </w:style>
  <w:style w:type="paragraph" w:styleId="ListBullet2">
    <w:name w:val="List Bullet 2"/>
    <w:basedOn w:val="Normal"/>
    <w:qFormat/>
    <w:rsid w:val="00DC0A72"/>
    <w:pPr>
      <w:numPr>
        <w:numId w:val="34"/>
      </w:numPr>
      <w:spacing w:after="100"/>
      <w:ind w:left="374" w:hanging="187"/>
    </w:pPr>
  </w:style>
  <w:style w:type="paragraph" w:styleId="List">
    <w:name w:val="List"/>
    <w:basedOn w:val="Normal"/>
    <w:semiHidden/>
    <w:rsid w:val="00DC0A72"/>
    <w:pPr>
      <w:numPr>
        <w:numId w:val="5"/>
      </w:numPr>
      <w:spacing w:after="80"/>
    </w:pPr>
  </w:style>
  <w:style w:type="paragraph" w:styleId="ListContinue">
    <w:name w:val="List Continue"/>
    <w:basedOn w:val="Normal"/>
    <w:qFormat/>
    <w:rsid w:val="00DC0A72"/>
    <w:pPr>
      <w:spacing w:after="80"/>
      <w:ind w:left="180"/>
    </w:pPr>
  </w:style>
  <w:style w:type="character" w:styleId="Emphasis">
    <w:name w:val="Emphasis"/>
    <w:basedOn w:val="DefaultParagraphFont"/>
    <w:semiHidden/>
    <w:rsid w:val="00DC0A72"/>
    <w:rPr>
      <w:i/>
      <w:iCs/>
    </w:rPr>
  </w:style>
  <w:style w:type="paragraph" w:styleId="Caption">
    <w:name w:val="caption"/>
    <w:basedOn w:val="TableTextLeft"/>
    <w:next w:val="Normal"/>
    <w:link w:val="CaptionChar"/>
    <w:semiHidden/>
    <w:rsid w:val="00DC0A72"/>
    <w:pPr>
      <w:spacing w:before="240" w:after="60"/>
    </w:pPr>
    <w:rPr>
      <w:b/>
      <w:bCs/>
      <w:sz w:val="20"/>
      <w:szCs w:val="20"/>
    </w:rPr>
  </w:style>
  <w:style w:type="paragraph" w:styleId="ListContinue2">
    <w:name w:val="List Continue 2"/>
    <w:basedOn w:val="Normal"/>
    <w:qFormat/>
    <w:rsid w:val="00DC0A72"/>
    <w:pPr>
      <w:spacing w:after="80"/>
      <w:ind w:left="360"/>
    </w:pPr>
  </w:style>
  <w:style w:type="paragraph" w:customStyle="1" w:styleId="Acknowledgment">
    <w:name w:val="Acknowledgment"/>
    <w:basedOn w:val="H1"/>
    <w:next w:val="ParagraphContinued"/>
    <w:semiHidden/>
    <w:rsid w:val="00DC0A72"/>
    <w:rPr>
      <w:b/>
      <w:bCs/>
    </w:rPr>
  </w:style>
  <w:style w:type="paragraph" w:styleId="ListBullet3">
    <w:name w:val="List Bullet 3"/>
    <w:basedOn w:val="Normal"/>
    <w:qFormat/>
    <w:rsid w:val="00DC0A72"/>
    <w:pPr>
      <w:numPr>
        <w:numId w:val="35"/>
      </w:numPr>
      <w:spacing w:after="100"/>
      <w:ind w:left="547" w:hanging="187"/>
    </w:pPr>
  </w:style>
  <w:style w:type="paragraph" w:styleId="NoteHeading">
    <w:name w:val="Note Heading"/>
    <w:basedOn w:val="H1"/>
    <w:next w:val="Notes"/>
    <w:link w:val="NoteHeadingChar"/>
    <w:semiHidden/>
    <w:rsid w:val="00DC0A72"/>
    <w:pPr>
      <w:outlineLvl w:val="9"/>
    </w:pPr>
    <w:rPr>
      <w:color w:val="0B2949" w:themeColor="accent1"/>
      <w:sz w:val="20"/>
    </w:rPr>
  </w:style>
  <w:style w:type="character" w:customStyle="1" w:styleId="NoteHeadingChar">
    <w:name w:val="Note Heading Char"/>
    <w:basedOn w:val="DefaultParagraphFont"/>
    <w:link w:val="NoteHeading"/>
    <w:semiHidden/>
    <w:rsid w:val="00DC0A72"/>
    <w:rPr>
      <w:rFonts w:asciiTheme="majorHAnsi" w:eastAsiaTheme="majorEastAsia" w:hAnsiTheme="majorHAnsi" w:cstheme="majorBidi"/>
      <w:color w:val="0B2949" w:themeColor="accent1"/>
      <w:sz w:val="20"/>
      <w:szCs w:val="32"/>
    </w:rPr>
  </w:style>
  <w:style w:type="paragraph" w:customStyle="1" w:styleId="Anchor">
    <w:name w:val="Anchor"/>
    <w:semiHidden/>
    <w:rsid w:val="00DC0A72"/>
    <w:pPr>
      <w:spacing w:after="0" w:line="20" w:lineRule="exact"/>
    </w:pPr>
    <w:rPr>
      <w:b/>
      <w:bCs/>
      <w:color w:val="FFFFFF" w:themeColor="background1"/>
      <w:sz w:val="2"/>
    </w:rPr>
  </w:style>
  <w:style w:type="paragraph" w:customStyle="1" w:styleId="AppendixTitle">
    <w:name w:val="Appendix Title"/>
    <w:basedOn w:val="H1"/>
    <w:next w:val="H2"/>
    <w:qFormat/>
    <w:rsid w:val="00DC0A72"/>
    <w:pPr>
      <w:spacing w:after="240"/>
      <w:jc w:val="center"/>
    </w:pPr>
    <w:rPr>
      <w:bCs/>
    </w:rPr>
  </w:style>
  <w:style w:type="paragraph" w:customStyle="1" w:styleId="AttachmentTitle">
    <w:name w:val="Attachment Title"/>
    <w:basedOn w:val="H1"/>
    <w:next w:val="H2"/>
    <w:semiHidden/>
    <w:rsid w:val="00DC0A72"/>
    <w:pPr>
      <w:jc w:val="center"/>
    </w:pPr>
    <w:rPr>
      <w:bCs/>
    </w:rPr>
  </w:style>
  <w:style w:type="paragraph" w:customStyle="1" w:styleId="Banner">
    <w:name w:val="Banner"/>
    <w:basedOn w:val="H1"/>
    <w:semiHidden/>
    <w:rsid w:val="00DC0A72"/>
    <w:pPr>
      <w:shd w:val="clear" w:color="auto" w:fill="FFFFFF" w:themeFill="background1"/>
      <w:spacing w:after="180"/>
    </w:pPr>
    <w:rPr>
      <w:bCs/>
      <w:color w:val="0B2949" w:themeColor="accent1"/>
    </w:rPr>
  </w:style>
  <w:style w:type="paragraph" w:styleId="Bibliography">
    <w:name w:val="Bibliography"/>
    <w:basedOn w:val="Normal"/>
    <w:qFormat/>
    <w:rsid w:val="00DC0A72"/>
    <w:pPr>
      <w:spacing w:after="80" w:line="240" w:lineRule="atLeast"/>
    </w:pPr>
    <w:rPr>
      <w:sz w:val="18"/>
    </w:rPr>
  </w:style>
  <w:style w:type="paragraph" w:styleId="BlockText">
    <w:name w:val="Block Text"/>
    <w:basedOn w:val="Normal"/>
    <w:semiHidden/>
    <w:rsid w:val="00DC0A72"/>
    <w:pPr>
      <w:pBdr>
        <w:top w:val="single" w:sz="2" w:space="10" w:color="0B2949" w:themeColor="accent1"/>
        <w:left w:val="single" w:sz="2" w:space="10" w:color="0B2949" w:themeColor="accent1"/>
        <w:bottom w:val="single" w:sz="2" w:space="10" w:color="0B2949" w:themeColor="accent1"/>
        <w:right w:val="single" w:sz="2" w:space="10" w:color="0B2949" w:themeColor="accent1"/>
      </w:pBdr>
      <w:ind w:left="1152" w:right="1152"/>
    </w:pPr>
    <w:rPr>
      <w:rFonts w:eastAsiaTheme="minorEastAsia"/>
      <w:i/>
      <w:iCs/>
      <w:color w:val="0B2949" w:themeColor="accent1"/>
    </w:rPr>
  </w:style>
  <w:style w:type="paragraph" w:styleId="BodyText">
    <w:name w:val="Body Text"/>
    <w:aliases w:val="bt"/>
    <w:basedOn w:val="Normal"/>
    <w:link w:val="BodyTextChar"/>
    <w:semiHidden/>
    <w:rsid w:val="00DC0A72"/>
    <w:pPr>
      <w:spacing w:after="120"/>
    </w:pPr>
  </w:style>
  <w:style w:type="character" w:customStyle="1" w:styleId="BodyTextChar">
    <w:name w:val="Body Text Char"/>
    <w:aliases w:val="bt Char"/>
    <w:basedOn w:val="DefaultParagraphFont"/>
    <w:link w:val="BodyText"/>
    <w:semiHidden/>
    <w:rsid w:val="00DC0A72"/>
    <w:rPr>
      <w:sz w:val="20"/>
    </w:rPr>
  </w:style>
  <w:style w:type="paragraph" w:styleId="BodyText2">
    <w:name w:val="Body Text 2"/>
    <w:basedOn w:val="Normal"/>
    <w:link w:val="BodyText2Char"/>
    <w:semiHidden/>
    <w:rsid w:val="00DC0A72"/>
    <w:pPr>
      <w:spacing w:after="120" w:line="480" w:lineRule="auto"/>
    </w:pPr>
  </w:style>
  <w:style w:type="character" w:customStyle="1" w:styleId="BodyText2Char">
    <w:name w:val="Body Text 2 Char"/>
    <w:basedOn w:val="DefaultParagraphFont"/>
    <w:link w:val="BodyText2"/>
    <w:semiHidden/>
    <w:rsid w:val="00DC0A72"/>
    <w:rPr>
      <w:sz w:val="20"/>
    </w:rPr>
  </w:style>
  <w:style w:type="paragraph" w:styleId="BodyText3">
    <w:name w:val="Body Text 3"/>
    <w:basedOn w:val="Normal"/>
    <w:link w:val="BodyText3Char"/>
    <w:semiHidden/>
    <w:rsid w:val="00DC0A72"/>
    <w:pPr>
      <w:spacing w:after="120"/>
    </w:pPr>
    <w:rPr>
      <w:sz w:val="16"/>
      <w:szCs w:val="16"/>
    </w:rPr>
  </w:style>
  <w:style w:type="character" w:customStyle="1" w:styleId="BodyText3Char">
    <w:name w:val="Body Text 3 Char"/>
    <w:basedOn w:val="DefaultParagraphFont"/>
    <w:link w:val="BodyText3"/>
    <w:semiHidden/>
    <w:rsid w:val="00DC0A72"/>
    <w:rPr>
      <w:sz w:val="16"/>
      <w:szCs w:val="16"/>
    </w:rPr>
  </w:style>
  <w:style w:type="paragraph" w:styleId="BodyTextFirstIndent">
    <w:name w:val="Body Text First Indent"/>
    <w:basedOn w:val="BodyText"/>
    <w:link w:val="BodyTextFirstIndentChar"/>
    <w:semiHidden/>
    <w:rsid w:val="00DC0A72"/>
    <w:pPr>
      <w:spacing w:after="160"/>
      <w:ind w:firstLine="360"/>
    </w:pPr>
  </w:style>
  <w:style w:type="character" w:customStyle="1" w:styleId="BodyTextFirstIndentChar">
    <w:name w:val="Body Text First Indent Char"/>
    <w:basedOn w:val="BodyTextChar"/>
    <w:link w:val="BodyTextFirstIndent"/>
    <w:semiHidden/>
    <w:rsid w:val="00DC0A72"/>
    <w:rPr>
      <w:sz w:val="20"/>
    </w:rPr>
  </w:style>
  <w:style w:type="paragraph" w:styleId="BodyTextIndent">
    <w:name w:val="Body Text Indent"/>
    <w:basedOn w:val="Normal"/>
    <w:link w:val="BodyTextIndentChar"/>
    <w:semiHidden/>
    <w:rsid w:val="00DC0A72"/>
    <w:pPr>
      <w:spacing w:after="120"/>
      <w:ind w:left="360"/>
    </w:pPr>
  </w:style>
  <w:style w:type="character" w:customStyle="1" w:styleId="BodyTextIndentChar">
    <w:name w:val="Body Text Indent Char"/>
    <w:basedOn w:val="DefaultParagraphFont"/>
    <w:link w:val="BodyTextIndent"/>
    <w:semiHidden/>
    <w:rsid w:val="00DC0A72"/>
    <w:rPr>
      <w:sz w:val="20"/>
    </w:rPr>
  </w:style>
  <w:style w:type="paragraph" w:styleId="BodyTextFirstIndent2">
    <w:name w:val="Body Text First Indent 2"/>
    <w:basedOn w:val="BodyTextIndent"/>
    <w:link w:val="BodyTextFirstIndent2Char"/>
    <w:semiHidden/>
    <w:rsid w:val="00DC0A72"/>
    <w:pPr>
      <w:spacing w:after="160"/>
      <w:ind w:firstLine="360"/>
    </w:pPr>
  </w:style>
  <w:style w:type="character" w:customStyle="1" w:styleId="BodyTextFirstIndent2Char">
    <w:name w:val="Body Text First Indent 2 Char"/>
    <w:basedOn w:val="BodyTextIndentChar"/>
    <w:link w:val="BodyTextFirstIndent2"/>
    <w:semiHidden/>
    <w:rsid w:val="00DC0A72"/>
    <w:rPr>
      <w:sz w:val="20"/>
    </w:rPr>
  </w:style>
  <w:style w:type="paragraph" w:styleId="BodyTextIndent2">
    <w:name w:val="Body Text Indent 2"/>
    <w:basedOn w:val="Normal"/>
    <w:link w:val="BodyTextIndent2Char"/>
    <w:semiHidden/>
    <w:rsid w:val="00DC0A72"/>
    <w:pPr>
      <w:spacing w:after="120" w:line="480" w:lineRule="auto"/>
      <w:ind w:left="360"/>
    </w:pPr>
  </w:style>
  <w:style w:type="character" w:customStyle="1" w:styleId="BodyTextIndent2Char">
    <w:name w:val="Body Text Indent 2 Char"/>
    <w:basedOn w:val="DefaultParagraphFont"/>
    <w:link w:val="BodyTextIndent2"/>
    <w:semiHidden/>
    <w:rsid w:val="00DC0A72"/>
    <w:rPr>
      <w:sz w:val="20"/>
    </w:rPr>
  </w:style>
  <w:style w:type="paragraph" w:styleId="BodyTextIndent3">
    <w:name w:val="Body Text Indent 3"/>
    <w:basedOn w:val="Normal"/>
    <w:link w:val="BodyTextIndent3Char"/>
    <w:semiHidden/>
    <w:rsid w:val="00DC0A72"/>
    <w:pPr>
      <w:spacing w:after="120"/>
      <w:ind w:left="360"/>
    </w:pPr>
    <w:rPr>
      <w:sz w:val="16"/>
      <w:szCs w:val="16"/>
    </w:rPr>
  </w:style>
  <w:style w:type="character" w:customStyle="1" w:styleId="BodyTextIndent3Char">
    <w:name w:val="Body Text Indent 3 Char"/>
    <w:basedOn w:val="DefaultParagraphFont"/>
    <w:link w:val="BodyTextIndent3"/>
    <w:semiHidden/>
    <w:rsid w:val="00DC0A72"/>
    <w:rPr>
      <w:sz w:val="16"/>
      <w:szCs w:val="16"/>
    </w:rPr>
  </w:style>
  <w:style w:type="character" w:styleId="BookTitle">
    <w:name w:val="Book Title"/>
    <w:basedOn w:val="DefaultParagraphFont"/>
    <w:semiHidden/>
    <w:rsid w:val="00DC0A72"/>
    <w:rPr>
      <w:b/>
      <w:bCs/>
      <w:i/>
      <w:iCs/>
      <w:spacing w:val="5"/>
    </w:rPr>
  </w:style>
  <w:style w:type="paragraph" w:customStyle="1" w:styleId="Blank">
    <w:name w:val="Blank"/>
    <w:basedOn w:val="Normal"/>
    <w:semiHidden/>
    <w:rsid w:val="00DC0A72"/>
    <w:pPr>
      <w:spacing w:before="5120" w:after="0"/>
      <w:jc w:val="center"/>
    </w:pPr>
    <w:rPr>
      <w:b/>
      <w:bCs/>
    </w:rPr>
  </w:style>
  <w:style w:type="paragraph" w:customStyle="1" w:styleId="Byline">
    <w:name w:val="Byline"/>
    <w:basedOn w:val="Normal"/>
    <w:semiHidden/>
    <w:rsid w:val="00DC0A72"/>
    <w:pPr>
      <w:spacing w:before="120" w:after="120"/>
      <w:ind w:right="288"/>
    </w:pPr>
    <w:rPr>
      <w:rFonts w:asciiTheme="majorHAnsi" w:hAnsiTheme="majorHAnsi"/>
      <w:bCs/>
      <w:color w:val="444D54" w:themeColor="accent3" w:themeShade="BF"/>
    </w:rPr>
  </w:style>
  <w:style w:type="paragraph" w:customStyle="1" w:styleId="Callout">
    <w:name w:val="Callout"/>
    <w:basedOn w:val="Normal"/>
    <w:semiHidden/>
    <w:rsid w:val="00DC0A72"/>
    <w:pPr>
      <w:ind w:left="720" w:right="720"/>
    </w:pPr>
    <w:rPr>
      <w:bCs/>
      <w:color w:val="000000" w:themeColor="text1"/>
      <w:sz w:val="22"/>
    </w:rPr>
  </w:style>
  <w:style w:type="paragraph" w:styleId="Date">
    <w:name w:val="Date"/>
    <w:basedOn w:val="Normal"/>
    <w:next w:val="Normal"/>
    <w:link w:val="DateChar"/>
    <w:semiHidden/>
    <w:rsid w:val="00DC0A72"/>
    <w:pPr>
      <w:spacing w:after="120"/>
    </w:pPr>
    <w:rPr>
      <w:rFonts w:asciiTheme="majorHAnsi" w:hAnsiTheme="majorHAnsi"/>
      <w:b/>
      <w:color w:val="444D54" w:themeColor="accent3" w:themeShade="BF"/>
    </w:rPr>
  </w:style>
  <w:style w:type="character" w:customStyle="1" w:styleId="DateChar">
    <w:name w:val="Date Char"/>
    <w:basedOn w:val="DefaultParagraphFont"/>
    <w:link w:val="Date"/>
    <w:semiHidden/>
    <w:rsid w:val="00DC0A72"/>
    <w:rPr>
      <w:rFonts w:asciiTheme="majorHAnsi" w:hAnsiTheme="majorHAnsi"/>
      <w:b/>
      <w:color w:val="444D54" w:themeColor="accent3" w:themeShade="BF"/>
      <w:sz w:val="20"/>
    </w:rPr>
  </w:style>
  <w:style w:type="paragraph" w:customStyle="1" w:styleId="CoverTitle">
    <w:name w:val="Cover Title"/>
    <w:semiHidden/>
    <w:rsid w:val="00DC0A72"/>
    <w:pPr>
      <w:spacing w:before="6720" w:after="240" w:line="600" w:lineRule="atLeast"/>
      <w:outlineLvl w:val="0"/>
    </w:pPr>
    <w:rPr>
      <w:rFonts w:asciiTheme="majorHAnsi" w:hAnsiTheme="majorHAnsi"/>
      <w:b/>
      <w:bCs/>
      <w:color w:val="FFFFFF" w:themeColor="background1"/>
      <w:spacing w:val="5"/>
      <w:sz w:val="52"/>
    </w:rPr>
  </w:style>
  <w:style w:type="paragraph" w:customStyle="1" w:styleId="CoverDate">
    <w:name w:val="Cover Date"/>
    <w:semiHidden/>
    <w:rsid w:val="00DC0A72"/>
    <w:pPr>
      <w:spacing w:before="360" w:after="0" w:line="264" w:lineRule="auto"/>
    </w:pPr>
    <w:rPr>
      <w:rFonts w:asciiTheme="majorHAnsi" w:hAnsiTheme="majorHAnsi"/>
      <w:b/>
      <w:bCs/>
      <w:color w:val="0B2949" w:themeColor="accent1"/>
      <w:sz w:val="24"/>
    </w:rPr>
  </w:style>
  <w:style w:type="paragraph" w:styleId="ListNumber3">
    <w:name w:val="List Number 3"/>
    <w:basedOn w:val="Normal"/>
    <w:qFormat/>
    <w:rsid w:val="00DC0A72"/>
    <w:pPr>
      <w:numPr>
        <w:numId w:val="9"/>
      </w:numPr>
      <w:adjustRightInd w:val="0"/>
      <w:spacing w:after="80"/>
    </w:pPr>
  </w:style>
  <w:style w:type="paragraph" w:styleId="ListNumber4">
    <w:name w:val="List Number 4"/>
    <w:basedOn w:val="Normal"/>
    <w:semiHidden/>
    <w:rsid w:val="00DC0A72"/>
    <w:pPr>
      <w:numPr>
        <w:numId w:val="10"/>
      </w:numPr>
      <w:spacing w:after="80"/>
    </w:pPr>
  </w:style>
  <w:style w:type="paragraph" w:customStyle="1" w:styleId="CoverSubtitle">
    <w:name w:val="Cover Subtitle"/>
    <w:semiHidden/>
    <w:rsid w:val="00DC0A72"/>
    <w:pPr>
      <w:spacing w:after="0" w:line="400" w:lineRule="atLeast"/>
    </w:pPr>
    <w:rPr>
      <w:rFonts w:asciiTheme="majorHAnsi" w:hAnsiTheme="majorHAnsi"/>
      <w:color w:val="FFFFFF" w:themeColor="background1"/>
      <w:spacing w:val="5"/>
      <w:sz w:val="36"/>
    </w:rPr>
  </w:style>
  <w:style w:type="paragraph" w:customStyle="1" w:styleId="CoverText">
    <w:name w:val="Cover Text"/>
    <w:semiHidden/>
    <w:rsid w:val="00DC0A72"/>
    <w:pPr>
      <w:spacing w:after="240" w:line="280" w:lineRule="atLeast"/>
      <w:contextualSpacing/>
    </w:pPr>
    <w:rPr>
      <w:color w:val="0B2949" w:themeColor="accent1"/>
      <w:sz w:val="20"/>
    </w:rPr>
  </w:style>
  <w:style w:type="paragraph" w:customStyle="1" w:styleId="CoverHead">
    <w:name w:val="Cover Head"/>
    <w:basedOn w:val="CoverDate"/>
    <w:semiHidden/>
    <w:rsid w:val="00DC0A72"/>
    <w:pPr>
      <w:spacing w:before="0" w:after="90" w:line="280" w:lineRule="atLeast"/>
    </w:pPr>
    <w:rPr>
      <w:rFonts w:asciiTheme="minorHAnsi" w:hAnsiTheme="minorHAnsi"/>
      <w:sz w:val="20"/>
    </w:rPr>
  </w:style>
  <w:style w:type="paragraph" w:customStyle="1" w:styleId="CoverAuthor">
    <w:name w:val="Cover Author"/>
    <w:basedOn w:val="CoverDate"/>
    <w:semiHidden/>
    <w:rsid w:val="00DC0A72"/>
    <w:pPr>
      <w:spacing w:before="120"/>
    </w:pPr>
    <w:rPr>
      <w:b w:val="0"/>
    </w:rPr>
  </w:style>
  <w:style w:type="paragraph" w:styleId="DocumentMap">
    <w:name w:val="Document Map"/>
    <w:basedOn w:val="Normal"/>
    <w:link w:val="DocumentMapChar"/>
    <w:semiHidden/>
    <w:rsid w:val="00DC0A72"/>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DC0A72"/>
    <w:rPr>
      <w:rFonts w:ascii="Segoe UI" w:hAnsi="Segoe UI" w:cs="Segoe UI"/>
      <w:sz w:val="16"/>
      <w:szCs w:val="16"/>
    </w:rPr>
  </w:style>
  <w:style w:type="character" w:styleId="EndnoteReference">
    <w:name w:val="endnote reference"/>
    <w:basedOn w:val="DefaultParagraphFont"/>
    <w:semiHidden/>
    <w:rsid w:val="00DC0A72"/>
    <w:rPr>
      <w:vertAlign w:val="superscript"/>
    </w:rPr>
  </w:style>
  <w:style w:type="paragraph" w:customStyle="1" w:styleId="Addressee">
    <w:name w:val="Addressee"/>
    <w:basedOn w:val="Normal"/>
    <w:semiHidden/>
    <w:rsid w:val="00DC0A72"/>
    <w:pPr>
      <w:tabs>
        <w:tab w:val="left" w:pos="576"/>
      </w:tabs>
      <w:spacing w:before="240"/>
      <w:ind w:left="576" w:hanging="576"/>
    </w:pPr>
  </w:style>
  <w:style w:type="character" w:styleId="CommentReference">
    <w:name w:val="annotation reference"/>
    <w:basedOn w:val="DefaultParagraphFont"/>
    <w:semiHidden/>
    <w:rsid w:val="00DC0A72"/>
    <w:rPr>
      <w:sz w:val="16"/>
      <w:szCs w:val="16"/>
    </w:rPr>
  </w:style>
  <w:style w:type="paragraph" w:styleId="CommentText">
    <w:name w:val="annotation text"/>
    <w:basedOn w:val="Normal"/>
    <w:link w:val="CommentTextChar"/>
    <w:semiHidden/>
    <w:rsid w:val="00DC0A72"/>
    <w:pPr>
      <w:spacing w:line="240" w:lineRule="auto"/>
    </w:pPr>
    <w:rPr>
      <w:szCs w:val="20"/>
    </w:rPr>
  </w:style>
  <w:style w:type="character" w:customStyle="1" w:styleId="CommentTextChar">
    <w:name w:val="Comment Text Char"/>
    <w:basedOn w:val="DefaultParagraphFont"/>
    <w:link w:val="CommentText"/>
    <w:semiHidden/>
    <w:rsid w:val="00DC0A72"/>
    <w:rPr>
      <w:sz w:val="20"/>
      <w:szCs w:val="20"/>
    </w:rPr>
  </w:style>
  <w:style w:type="paragraph" w:styleId="CommentSubject">
    <w:name w:val="annotation subject"/>
    <w:basedOn w:val="CommentText"/>
    <w:next w:val="CommentText"/>
    <w:link w:val="CommentSubjectChar"/>
    <w:semiHidden/>
    <w:rsid w:val="00DC0A72"/>
    <w:rPr>
      <w:b/>
      <w:bCs/>
    </w:rPr>
  </w:style>
  <w:style w:type="character" w:customStyle="1" w:styleId="CommentSubjectChar">
    <w:name w:val="Comment Subject Char"/>
    <w:basedOn w:val="CommentTextChar"/>
    <w:link w:val="CommentSubject"/>
    <w:semiHidden/>
    <w:rsid w:val="00DC0A72"/>
    <w:rPr>
      <w:b/>
      <w:bCs/>
      <w:sz w:val="20"/>
      <w:szCs w:val="20"/>
    </w:rPr>
  </w:style>
  <w:style w:type="paragraph" w:styleId="Revision">
    <w:name w:val="Revision"/>
    <w:hidden/>
    <w:uiPriority w:val="99"/>
    <w:semiHidden/>
    <w:rsid w:val="00DC0A72"/>
    <w:pPr>
      <w:spacing w:after="0" w:line="240" w:lineRule="auto"/>
    </w:pPr>
    <w:rPr>
      <w:sz w:val="20"/>
    </w:rPr>
  </w:style>
  <w:style w:type="paragraph" w:customStyle="1" w:styleId="PubinfoAuthor">
    <w:name w:val="Pubinfo Author"/>
    <w:basedOn w:val="Pubinfo"/>
    <w:semiHidden/>
    <w:rsid w:val="00DC0A72"/>
    <w:pPr>
      <w:spacing w:after="0"/>
    </w:pPr>
  </w:style>
  <w:style w:type="paragraph" w:customStyle="1" w:styleId="ExhibitFootnote">
    <w:name w:val="Exhibit Footnote"/>
    <w:basedOn w:val="TableTextLeft"/>
    <w:qFormat/>
    <w:rsid w:val="00DC0A72"/>
    <w:pPr>
      <w:spacing w:after="40" w:line="200" w:lineRule="atLeast"/>
    </w:pPr>
    <w:rPr>
      <w:sz w:val="16"/>
    </w:rPr>
  </w:style>
  <w:style w:type="paragraph" w:styleId="Closing">
    <w:name w:val="Closing"/>
    <w:basedOn w:val="Normal"/>
    <w:link w:val="ClosingChar"/>
    <w:semiHidden/>
    <w:rsid w:val="00DC0A72"/>
    <w:pPr>
      <w:spacing w:after="240" w:line="240" w:lineRule="auto"/>
      <w:ind w:left="4320"/>
      <w:contextualSpacing/>
    </w:pPr>
  </w:style>
  <w:style w:type="character" w:customStyle="1" w:styleId="ClosingChar">
    <w:name w:val="Closing Char"/>
    <w:basedOn w:val="DefaultParagraphFont"/>
    <w:link w:val="Closing"/>
    <w:semiHidden/>
    <w:rsid w:val="00DC0A72"/>
    <w:rPr>
      <w:sz w:val="20"/>
    </w:rPr>
  </w:style>
  <w:style w:type="paragraph" w:customStyle="1" w:styleId="ESH1">
    <w:name w:val="ES H1"/>
    <w:basedOn w:val="H1"/>
    <w:next w:val="ESParagraph"/>
    <w:semiHidden/>
    <w:rsid w:val="00DC0A72"/>
    <w:pPr>
      <w:outlineLvl w:val="9"/>
    </w:pPr>
  </w:style>
  <w:style w:type="paragraph" w:customStyle="1" w:styleId="ESH2">
    <w:name w:val="ES H2"/>
    <w:basedOn w:val="ESH1"/>
    <w:next w:val="ESParagraph"/>
    <w:semiHidden/>
    <w:rsid w:val="00DC0A72"/>
    <w:rPr>
      <w:b/>
      <w:color w:val="0B2949" w:themeColor="accent1"/>
      <w:sz w:val="24"/>
    </w:rPr>
  </w:style>
  <w:style w:type="paragraph" w:customStyle="1" w:styleId="ESListBullet">
    <w:name w:val="ES List Bullet"/>
    <w:basedOn w:val="ESParagraph"/>
    <w:semiHidden/>
    <w:rsid w:val="00DC0A72"/>
    <w:pPr>
      <w:numPr>
        <w:numId w:val="12"/>
      </w:numPr>
    </w:pPr>
  </w:style>
  <w:style w:type="paragraph" w:customStyle="1" w:styleId="ESListNumber">
    <w:name w:val="ES List Number"/>
    <w:basedOn w:val="ESParagraph"/>
    <w:semiHidden/>
    <w:rsid w:val="00DC0A72"/>
    <w:pPr>
      <w:numPr>
        <w:numId w:val="13"/>
      </w:numPr>
    </w:pPr>
  </w:style>
  <w:style w:type="paragraph" w:customStyle="1" w:styleId="ESParagraph">
    <w:name w:val="ES Paragraph"/>
    <w:basedOn w:val="Normal"/>
    <w:semiHidden/>
    <w:rsid w:val="00DC0A72"/>
    <w:rPr>
      <w:rFonts w:asciiTheme="majorHAnsi" w:hAnsiTheme="majorHAnsi"/>
      <w:color w:val="000000" w:themeColor="text1"/>
    </w:rPr>
  </w:style>
  <w:style w:type="paragraph" w:customStyle="1" w:styleId="ESParagraphContinued">
    <w:name w:val="ES Paragraph Continued"/>
    <w:basedOn w:val="ESParagraph"/>
    <w:next w:val="ESParagraph"/>
    <w:semiHidden/>
    <w:rsid w:val="00DC0A72"/>
    <w:pPr>
      <w:spacing w:before="160"/>
    </w:pPr>
  </w:style>
  <w:style w:type="paragraph" w:customStyle="1" w:styleId="ExhibitSource">
    <w:name w:val="Exhibit Source"/>
    <w:basedOn w:val="TableTextLeft"/>
    <w:qFormat/>
    <w:rsid w:val="00DC0A72"/>
    <w:pPr>
      <w:tabs>
        <w:tab w:val="left" w:pos="648"/>
      </w:tabs>
      <w:spacing w:after="40" w:line="200" w:lineRule="atLeast"/>
      <w:ind w:left="648" w:hanging="648"/>
    </w:pPr>
    <w:rPr>
      <w:sz w:val="16"/>
    </w:rPr>
  </w:style>
  <w:style w:type="paragraph" w:customStyle="1" w:styleId="ExhibitSignificance">
    <w:name w:val="Exhibit Significance"/>
    <w:basedOn w:val="TableTextLeft"/>
    <w:qFormat/>
    <w:rsid w:val="00DC0A72"/>
    <w:pPr>
      <w:tabs>
        <w:tab w:val="right" w:pos="180"/>
        <w:tab w:val="left" w:pos="270"/>
      </w:tabs>
      <w:spacing w:after="40" w:line="200" w:lineRule="atLeast"/>
      <w:ind w:left="274" w:hanging="274"/>
    </w:pPr>
    <w:rPr>
      <w:sz w:val="16"/>
    </w:rPr>
  </w:style>
  <w:style w:type="paragraph" w:customStyle="1" w:styleId="ExhibitTitle">
    <w:name w:val="Exhibit Title"/>
    <w:basedOn w:val="TableTextLeft"/>
    <w:link w:val="ExhibitTitleChar"/>
    <w:qFormat/>
    <w:rsid w:val="00DC0A72"/>
    <w:pPr>
      <w:keepNext/>
      <w:keepLines/>
      <w:spacing w:before="0" w:after="80"/>
    </w:pPr>
    <w:rPr>
      <w:color w:val="0B2949" w:themeColor="accent1"/>
      <w:sz w:val="22"/>
    </w:rPr>
  </w:style>
  <w:style w:type="paragraph" w:customStyle="1" w:styleId="FAQQuestion">
    <w:name w:val="FAQ Question"/>
    <w:basedOn w:val="H1"/>
    <w:next w:val="ParagraphContinued"/>
    <w:semiHidden/>
    <w:rsid w:val="00DC0A72"/>
    <w:rPr>
      <w:color w:val="0B2949" w:themeColor="accent1"/>
    </w:rPr>
  </w:style>
  <w:style w:type="paragraph" w:customStyle="1" w:styleId="Feature1">
    <w:name w:val="Feature1"/>
    <w:basedOn w:val="Normal"/>
    <w:semiHidden/>
    <w:rsid w:val="00DC0A72"/>
    <w:pPr>
      <w:spacing w:after="0"/>
    </w:pPr>
  </w:style>
  <w:style w:type="paragraph" w:customStyle="1" w:styleId="Feature1Title">
    <w:name w:val="Feature1 Title"/>
    <w:basedOn w:val="H1"/>
    <w:next w:val="Feature1"/>
    <w:semiHidden/>
    <w:rsid w:val="00DC0A72"/>
  </w:style>
  <w:style w:type="paragraph" w:customStyle="1" w:styleId="Feature1ListBullet">
    <w:name w:val="Feature1 List Bullet"/>
    <w:basedOn w:val="Feature1"/>
    <w:semiHidden/>
    <w:rsid w:val="00DC0A72"/>
  </w:style>
  <w:style w:type="paragraph" w:customStyle="1" w:styleId="Feature1ListNumber">
    <w:name w:val="Feature1 List Number"/>
    <w:basedOn w:val="Feature1"/>
    <w:semiHidden/>
    <w:rsid w:val="00DC0A72"/>
  </w:style>
  <w:style w:type="paragraph" w:customStyle="1" w:styleId="Feature1Head">
    <w:name w:val="Feature1 Head"/>
    <w:basedOn w:val="Feature1Title"/>
    <w:next w:val="Feature1"/>
    <w:semiHidden/>
    <w:rsid w:val="00DC0A72"/>
    <w:pPr>
      <w:spacing w:after="80" w:line="240" w:lineRule="auto"/>
      <w:outlineLvl w:val="9"/>
    </w:pPr>
  </w:style>
  <w:style w:type="paragraph" w:customStyle="1" w:styleId="Feature20">
    <w:name w:val="Feature2"/>
    <w:basedOn w:val="Normal"/>
    <w:semiHidden/>
    <w:rsid w:val="00DC0A72"/>
    <w:pPr>
      <w:spacing w:after="0"/>
    </w:pPr>
  </w:style>
  <w:style w:type="paragraph" w:customStyle="1" w:styleId="Feature2Title">
    <w:name w:val="Feature2 Title"/>
    <w:basedOn w:val="H1"/>
    <w:semiHidden/>
    <w:rsid w:val="00DC0A72"/>
  </w:style>
  <w:style w:type="paragraph" w:customStyle="1" w:styleId="Feature2Head">
    <w:name w:val="Feature2 Head"/>
    <w:basedOn w:val="Feature2Title"/>
    <w:next w:val="Feature20"/>
    <w:semiHidden/>
    <w:rsid w:val="00DC0A72"/>
  </w:style>
  <w:style w:type="paragraph" w:customStyle="1" w:styleId="Feature2ListBullet">
    <w:name w:val="Feature2 List Bullet"/>
    <w:basedOn w:val="Feature20"/>
    <w:semiHidden/>
    <w:rsid w:val="00DC0A72"/>
  </w:style>
  <w:style w:type="paragraph" w:customStyle="1" w:styleId="Feature2ListNumber">
    <w:name w:val="Feature2 List Number"/>
    <w:basedOn w:val="Feature20"/>
    <w:semiHidden/>
    <w:rsid w:val="00DC0A72"/>
  </w:style>
  <w:style w:type="paragraph" w:customStyle="1" w:styleId="Feature1ListHead">
    <w:name w:val="Feature1 List Head"/>
    <w:basedOn w:val="Feature1"/>
    <w:next w:val="Feature1ListBullet"/>
    <w:semiHidden/>
    <w:rsid w:val="00DC0A72"/>
    <w:rPr>
      <w:b/>
    </w:rPr>
  </w:style>
  <w:style w:type="paragraph" w:customStyle="1" w:styleId="Feature2ListHead">
    <w:name w:val="Feature2 List Head"/>
    <w:basedOn w:val="Feature20"/>
    <w:next w:val="Feature2ListBullet"/>
    <w:semiHidden/>
    <w:rsid w:val="00DC0A72"/>
    <w:rPr>
      <w:b/>
    </w:rPr>
  </w:style>
  <w:style w:type="paragraph" w:customStyle="1" w:styleId="FigureTitle">
    <w:name w:val="Figure Title"/>
    <w:basedOn w:val="ExhibitTitle"/>
    <w:next w:val="ExhibitSource"/>
    <w:qFormat/>
    <w:rsid w:val="00DC0A72"/>
  </w:style>
  <w:style w:type="paragraph" w:customStyle="1" w:styleId="H2">
    <w:name w:val="H2"/>
    <w:basedOn w:val="H1"/>
    <w:next w:val="Paragraph"/>
    <w:link w:val="H2Char"/>
    <w:qFormat/>
    <w:rsid w:val="00DC0A72"/>
    <w:pPr>
      <w:spacing w:line="320" w:lineRule="atLeast"/>
      <w:outlineLvl w:val="2"/>
    </w:pPr>
    <w:rPr>
      <w:b/>
      <w:color w:val="0B2949" w:themeColor="accent1"/>
      <w:sz w:val="24"/>
    </w:rPr>
  </w:style>
  <w:style w:type="paragraph" w:customStyle="1" w:styleId="H3">
    <w:name w:val="H3"/>
    <w:basedOn w:val="H1"/>
    <w:next w:val="Paragraph"/>
    <w:link w:val="H3Char"/>
    <w:qFormat/>
    <w:rsid w:val="00DC0A72"/>
    <w:pPr>
      <w:spacing w:line="260" w:lineRule="atLeast"/>
      <w:outlineLvl w:val="3"/>
    </w:pPr>
    <w:rPr>
      <w:rFonts w:asciiTheme="minorHAnsi" w:hAnsiTheme="minorHAnsi"/>
      <w:b/>
      <w:color w:val="000000" w:themeColor="text1"/>
      <w:sz w:val="20"/>
    </w:rPr>
  </w:style>
  <w:style w:type="paragraph" w:customStyle="1" w:styleId="H4">
    <w:name w:val="H4"/>
    <w:basedOn w:val="H1"/>
    <w:next w:val="ParagraphContinued"/>
    <w:qFormat/>
    <w:rsid w:val="00DC0A72"/>
    <w:pPr>
      <w:spacing w:line="260" w:lineRule="atLeast"/>
      <w:outlineLvl w:val="4"/>
    </w:pPr>
    <w:rPr>
      <w:rFonts w:asciiTheme="minorHAnsi" w:hAnsiTheme="minorHAnsi"/>
      <w:i/>
      <w:color w:val="000000" w:themeColor="text1"/>
      <w:sz w:val="22"/>
    </w:rPr>
  </w:style>
  <w:style w:type="character" w:customStyle="1" w:styleId="Heading9Char">
    <w:name w:val="Heading 9 Char"/>
    <w:basedOn w:val="DefaultParagraphFont"/>
    <w:link w:val="Heading9"/>
    <w:semiHidden/>
    <w:rsid w:val="00DC0A72"/>
    <w:rPr>
      <w:rFonts w:asciiTheme="majorHAnsi" w:eastAsiaTheme="majorEastAsia" w:hAnsiTheme="majorHAnsi" w:cstheme="majorBidi"/>
      <w:i/>
      <w:iCs/>
      <w:color w:val="272727" w:themeColor="text1" w:themeTint="D8"/>
      <w:sz w:val="21"/>
      <w:szCs w:val="21"/>
    </w:rPr>
  </w:style>
  <w:style w:type="paragraph" w:styleId="Index1">
    <w:name w:val="index 1"/>
    <w:basedOn w:val="Normal"/>
    <w:next w:val="Normal"/>
    <w:autoRedefine/>
    <w:semiHidden/>
    <w:rsid w:val="00DC0A72"/>
    <w:pPr>
      <w:spacing w:after="0" w:line="240" w:lineRule="auto"/>
      <w:ind w:left="200" w:hanging="200"/>
    </w:pPr>
  </w:style>
  <w:style w:type="paragraph" w:styleId="IndexHeading">
    <w:name w:val="index heading"/>
    <w:basedOn w:val="Normal"/>
    <w:next w:val="Index1"/>
    <w:semiHidden/>
    <w:rsid w:val="00DC0A72"/>
    <w:rPr>
      <w:rFonts w:asciiTheme="majorHAnsi" w:eastAsiaTheme="majorEastAsia" w:hAnsiTheme="majorHAnsi" w:cstheme="majorBidi"/>
      <w:b/>
      <w:bCs/>
    </w:rPr>
  </w:style>
  <w:style w:type="paragraph" w:customStyle="1" w:styleId="Introduction">
    <w:name w:val="Introduction"/>
    <w:basedOn w:val="Normal"/>
    <w:semiHidden/>
    <w:rsid w:val="00DC0A72"/>
    <w:pPr>
      <w:spacing w:after="120" w:line="320" w:lineRule="atLeast"/>
    </w:pPr>
    <w:rPr>
      <w:rFonts w:asciiTheme="majorHAnsi" w:hAnsiTheme="majorHAnsi"/>
      <w:color w:val="444D54" w:themeColor="accent3" w:themeShade="BF"/>
      <w:sz w:val="22"/>
    </w:rPr>
  </w:style>
  <w:style w:type="paragraph" w:styleId="ListParagraph">
    <w:name w:val="List Paragraph"/>
    <w:aliases w:val="Bulleted List Level 1,MCHIP_list paragraph,List Paragraph1,Recommendation,List Paragraph (numbered (a)),Dot pt,F5 List Paragraph,No Spacing1,List Paragraph Char Char Char,Indicator Text,Numbered Para 1,MAIN CONTENT,List Paragraph Bullet,3"/>
    <w:basedOn w:val="Normal"/>
    <w:link w:val="ListParagraphChar"/>
    <w:semiHidden/>
    <w:rsid w:val="00DC0A72"/>
    <w:pPr>
      <w:ind w:left="1267" w:hanging="1267"/>
      <w:contextualSpacing/>
    </w:pPr>
  </w:style>
  <w:style w:type="paragraph" w:styleId="MacroText">
    <w:name w:val="macro"/>
    <w:link w:val="MacroTextChar"/>
    <w:semiHidden/>
    <w:rsid w:val="00DC0A72"/>
    <w:pPr>
      <w:tabs>
        <w:tab w:val="left" w:pos="480"/>
        <w:tab w:val="left" w:pos="960"/>
        <w:tab w:val="left" w:pos="1440"/>
        <w:tab w:val="left" w:pos="1920"/>
        <w:tab w:val="left" w:pos="2400"/>
        <w:tab w:val="left" w:pos="2880"/>
        <w:tab w:val="left" w:pos="3360"/>
        <w:tab w:val="left" w:pos="3840"/>
        <w:tab w:val="left" w:pos="4320"/>
      </w:tabs>
      <w:spacing w:after="0" w:line="264" w:lineRule="auto"/>
    </w:pPr>
    <w:rPr>
      <w:rFonts w:ascii="Consolas" w:hAnsi="Consolas"/>
      <w:sz w:val="20"/>
      <w:szCs w:val="20"/>
    </w:rPr>
  </w:style>
  <w:style w:type="character" w:customStyle="1" w:styleId="MacroTextChar">
    <w:name w:val="Macro Text Char"/>
    <w:basedOn w:val="DefaultParagraphFont"/>
    <w:link w:val="MacroText"/>
    <w:semiHidden/>
    <w:rsid w:val="00DC0A72"/>
    <w:rPr>
      <w:rFonts w:ascii="Consolas" w:hAnsi="Consolas"/>
      <w:sz w:val="20"/>
      <w:szCs w:val="20"/>
    </w:rPr>
  </w:style>
  <w:style w:type="paragraph" w:customStyle="1" w:styleId="Notes">
    <w:name w:val="Notes"/>
    <w:basedOn w:val="Normal"/>
    <w:semiHidden/>
    <w:rsid w:val="00DC0A72"/>
    <w:rPr>
      <w:color w:val="046B5C" w:themeColor="text2"/>
    </w:rPr>
  </w:style>
  <w:style w:type="paragraph" w:customStyle="1" w:styleId="Pubinfo">
    <w:name w:val="Pubinfo"/>
    <w:basedOn w:val="Normal"/>
    <w:semiHidden/>
    <w:rsid w:val="00DC0A72"/>
    <w:rPr>
      <w:b/>
    </w:rPr>
  </w:style>
  <w:style w:type="paragraph" w:customStyle="1" w:styleId="PubinfoCategory">
    <w:name w:val="Pubinfo Category"/>
    <w:basedOn w:val="Pubinfo"/>
    <w:semiHidden/>
    <w:rsid w:val="00DC0A72"/>
  </w:style>
  <w:style w:type="paragraph" w:customStyle="1" w:styleId="PubinfoDate">
    <w:name w:val="Pubinfo Date"/>
    <w:basedOn w:val="PubinfoCategory"/>
    <w:semiHidden/>
    <w:rsid w:val="00DC0A72"/>
  </w:style>
  <w:style w:type="paragraph" w:customStyle="1" w:styleId="PubinfoHead">
    <w:name w:val="Pubinfo Head"/>
    <w:basedOn w:val="Pubinfo"/>
    <w:semiHidden/>
    <w:rsid w:val="00DC0A72"/>
  </w:style>
  <w:style w:type="paragraph" w:customStyle="1" w:styleId="PubinfoList">
    <w:name w:val="Pubinfo List"/>
    <w:basedOn w:val="Pubinfo"/>
    <w:semiHidden/>
    <w:rsid w:val="00DC0A72"/>
  </w:style>
  <w:style w:type="paragraph" w:customStyle="1" w:styleId="PubinfoNumber">
    <w:name w:val="Pubinfo Number"/>
    <w:basedOn w:val="Pubinfo"/>
    <w:semiHidden/>
    <w:rsid w:val="00DC0A72"/>
  </w:style>
  <w:style w:type="paragraph" w:styleId="Quote">
    <w:name w:val="Quote"/>
    <w:basedOn w:val="Normal"/>
    <w:link w:val="QuoteChar"/>
    <w:qFormat/>
    <w:rsid w:val="00DC0A72"/>
    <w:pPr>
      <w:spacing w:before="40" w:after="60"/>
    </w:pPr>
    <w:rPr>
      <w:rFonts w:asciiTheme="majorHAnsi" w:hAnsiTheme="majorHAnsi"/>
      <w:iCs/>
      <w:color w:val="444D54" w:themeColor="accent3" w:themeShade="BF"/>
      <w:sz w:val="24"/>
      <w:szCs w:val="21"/>
    </w:rPr>
  </w:style>
  <w:style w:type="character" w:customStyle="1" w:styleId="QuoteChar">
    <w:name w:val="Quote Char"/>
    <w:basedOn w:val="DefaultParagraphFont"/>
    <w:link w:val="Quote"/>
    <w:rsid w:val="00DC0A72"/>
    <w:rPr>
      <w:rFonts w:asciiTheme="majorHAnsi" w:hAnsiTheme="majorHAnsi"/>
      <w:iCs/>
      <w:color w:val="444D54" w:themeColor="accent3" w:themeShade="BF"/>
      <w:sz w:val="24"/>
      <w:szCs w:val="21"/>
    </w:rPr>
  </w:style>
  <w:style w:type="paragraph" w:customStyle="1" w:styleId="QuoteAttribution">
    <w:name w:val="Quote Attribution"/>
    <w:basedOn w:val="Quote"/>
    <w:qFormat/>
    <w:rsid w:val="00DC0A72"/>
    <w:pPr>
      <w:spacing w:before="0" w:after="160"/>
      <w:jc w:val="right"/>
    </w:pPr>
    <w:rPr>
      <w:sz w:val="20"/>
    </w:rPr>
  </w:style>
  <w:style w:type="paragraph" w:styleId="Subtitle">
    <w:name w:val="Subtitle"/>
    <w:basedOn w:val="Normal"/>
    <w:next w:val="Normal"/>
    <w:link w:val="SubtitleChar"/>
    <w:semiHidden/>
    <w:rsid w:val="00DC0A72"/>
    <w:pPr>
      <w:numPr>
        <w:ilvl w:val="1"/>
      </w:numPr>
      <w:spacing w:before="120" w:after="240"/>
    </w:pPr>
    <w:rPr>
      <w:rFonts w:asciiTheme="majorHAnsi" w:eastAsiaTheme="minorEastAsia" w:hAnsiTheme="majorHAnsi"/>
      <w:color w:val="444D54" w:themeColor="accent3" w:themeShade="BF"/>
      <w:spacing w:val="15"/>
      <w:sz w:val="30"/>
    </w:rPr>
  </w:style>
  <w:style w:type="character" w:customStyle="1" w:styleId="SubtitleChar">
    <w:name w:val="Subtitle Char"/>
    <w:basedOn w:val="DefaultParagraphFont"/>
    <w:link w:val="Subtitle"/>
    <w:semiHidden/>
    <w:rsid w:val="00DC0A72"/>
    <w:rPr>
      <w:rFonts w:asciiTheme="majorHAnsi" w:eastAsiaTheme="minorEastAsia" w:hAnsiTheme="majorHAnsi"/>
      <w:color w:val="444D54" w:themeColor="accent3" w:themeShade="BF"/>
      <w:spacing w:val="15"/>
      <w:sz w:val="30"/>
    </w:rPr>
  </w:style>
  <w:style w:type="paragraph" w:customStyle="1" w:styleId="SidebarTitle">
    <w:name w:val="Sidebar Title"/>
    <w:basedOn w:val="H1"/>
    <w:next w:val="Sidebar"/>
    <w:qFormat/>
    <w:rsid w:val="00DC0A72"/>
    <w:pPr>
      <w:spacing w:before="0" w:after="80" w:line="260" w:lineRule="atLeast"/>
      <w:ind w:left="0" w:firstLine="0"/>
      <w:outlineLvl w:val="9"/>
    </w:pPr>
    <w:rPr>
      <w:b/>
      <w:color w:val="0B2949" w:themeColor="accent1"/>
      <w:sz w:val="22"/>
    </w:rPr>
  </w:style>
  <w:style w:type="paragraph" w:customStyle="1" w:styleId="SidebarHead">
    <w:name w:val="Sidebar Head"/>
    <w:basedOn w:val="SidebarTitle"/>
    <w:next w:val="Sidebar"/>
    <w:qFormat/>
    <w:rsid w:val="00DC0A72"/>
  </w:style>
  <w:style w:type="paragraph" w:customStyle="1" w:styleId="TableTextRight">
    <w:name w:val="Table Text Right"/>
    <w:basedOn w:val="TableTextLeft"/>
    <w:qFormat/>
    <w:rsid w:val="00DC0A72"/>
    <w:pPr>
      <w:jc w:val="right"/>
    </w:pPr>
  </w:style>
  <w:style w:type="paragraph" w:customStyle="1" w:styleId="TableTextDecimal">
    <w:name w:val="Table Text Decimal"/>
    <w:basedOn w:val="TableTextLeft"/>
    <w:qFormat/>
    <w:rsid w:val="00DC0A72"/>
    <w:pPr>
      <w:tabs>
        <w:tab w:val="decimal" w:pos="576"/>
      </w:tabs>
    </w:pPr>
  </w:style>
  <w:style w:type="paragraph" w:customStyle="1" w:styleId="TableRowHead">
    <w:name w:val="Table Row Head"/>
    <w:basedOn w:val="TableTextLeft"/>
    <w:qFormat/>
    <w:rsid w:val="00DC0A72"/>
    <w:pPr>
      <w:keepNext/>
      <w:spacing w:after="40"/>
    </w:pPr>
    <w:rPr>
      <w:b/>
      <w:color w:val="auto"/>
    </w:rPr>
  </w:style>
  <w:style w:type="paragraph" w:customStyle="1" w:styleId="TableListNumber">
    <w:name w:val="Table List Number"/>
    <w:basedOn w:val="TableTextLeft"/>
    <w:qFormat/>
    <w:rsid w:val="00DC0A72"/>
    <w:pPr>
      <w:numPr>
        <w:numId w:val="14"/>
      </w:numPr>
    </w:pPr>
  </w:style>
  <w:style w:type="paragraph" w:customStyle="1" w:styleId="TableListBullet">
    <w:name w:val="Table List Bullet"/>
    <w:basedOn w:val="TableTextLeft"/>
    <w:qFormat/>
    <w:rsid w:val="00DC0A72"/>
    <w:pPr>
      <w:numPr>
        <w:numId w:val="15"/>
      </w:numPr>
    </w:pPr>
  </w:style>
  <w:style w:type="paragraph" w:customStyle="1" w:styleId="TableHeaderCenter">
    <w:name w:val="Table Header Center"/>
    <w:basedOn w:val="TableTextLeft"/>
    <w:qFormat/>
    <w:rsid w:val="00DC0A72"/>
    <w:pPr>
      <w:keepNext/>
      <w:jc w:val="center"/>
    </w:pPr>
    <w:rPr>
      <w:color w:val="FFFFFF" w:themeColor="background1"/>
    </w:rPr>
  </w:style>
  <w:style w:type="paragraph" w:customStyle="1" w:styleId="TableHeaderLeft">
    <w:name w:val="Table Header Left"/>
    <w:basedOn w:val="TableTextLeft"/>
    <w:qFormat/>
    <w:rsid w:val="00DC0A72"/>
    <w:pPr>
      <w:keepNext/>
    </w:pPr>
    <w:rPr>
      <w:color w:val="FFFFFF" w:themeColor="background1"/>
    </w:rPr>
  </w:style>
  <w:style w:type="paragraph" w:customStyle="1" w:styleId="TableTitle">
    <w:name w:val="Table Title"/>
    <w:basedOn w:val="ExhibitTitle"/>
    <w:qFormat/>
    <w:rsid w:val="00DC0A72"/>
    <w:pPr>
      <w:spacing w:before="180"/>
    </w:pPr>
  </w:style>
  <w:style w:type="paragraph" w:customStyle="1" w:styleId="TableTextCentered">
    <w:name w:val="Table Text Centered"/>
    <w:basedOn w:val="TableTextLeft"/>
    <w:qFormat/>
    <w:rsid w:val="00DC0A72"/>
    <w:pPr>
      <w:jc w:val="center"/>
    </w:pPr>
  </w:style>
  <w:style w:type="paragraph" w:styleId="TOC1">
    <w:name w:val="toc 1"/>
    <w:basedOn w:val="Normal"/>
    <w:next w:val="Normal"/>
    <w:semiHidden/>
    <w:rsid w:val="00DC0A72"/>
    <w:pPr>
      <w:tabs>
        <w:tab w:val="right" w:leader="dot" w:pos="9360"/>
      </w:tabs>
      <w:spacing w:before="140" w:after="160"/>
      <w:ind w:left="432" w:right="720" w:hanging="432"/>
    </w:pPr>
    <w:rPr>
      <w:rFonts w:asciiTheme="majorHAnsi" w:hAnsiTheme="majorHAnsi"/>
      <w:sz w:val="19"/>
    </w:rPr>
  </w:style>
  <w:style w:type="paragraph" w:styleId="TOC2">
    <w:name w:val="toc 2"/>
    <w:basedOn w:val="Normal"/>
    <w:next w:val="Normal"/>
    <w:semiHidden/>
    <w:rsid w:val="00DC0A72"/>
    <w:pPr>
      <w:tabs>
        <w:tab w:val="right" w:leader="dot" w:pos="9360"/>
      </w:tabs>
      <w:spacing w:before="140" w:after="160"/>
      <w:ind w:left="864" w:right="720" w:hanging="432"/>
    </w:pPr>
    <w:rPr>
      <w:rFonts w:asciiTheme="majorHAnsi" w:hAnsiTheme="majorHAnsi"/>
      <w:sz w:val="19"/>
    </w:rPr>
  </w:style>
  <w:style w:type="paragraph" w:styleId="TOC3">
    <w:name w:val="toc 3"/>
    <w:basedOn w:val="Normal"/>
    <w:next w:val="Normal"/>
    <w:semiHidden/>
    <w:rsid w:val="00DC0A72"/>
    <w:pPr>
      <w:tabs>
        <w:tab w:val="right" w:leader="dot" w:pos="9360"/>
      </w:tabs>
      <w:spacing w:after="100"/>
      <w:ind w:left="1296" w:hanging="432"/>
    </w:pPr>
    <w:rPr>
      <w:rFonts w:asciiTheme="majorHAnsi" w:hAnsiTheme="majorHAnsi"/>
      <w:sz w:val="19"/>
    </w:rPr>
  </w:style>
  <w:style w:type="paragraph" w:styleId="TOCHeading">
    <w:name w:val="TOC Heading"/>
    <w:next w:val="TOC1"/>
    <w:semiHidden/>
    <w:rsid w:val="00DC0A72"/>
    <w:pPr>
      <w:spacing w:after="0" w:line="360" w:lineRule="atLeast"/>
    </w:pPr>
    <w:rPr>
      <w:rFonts w:asciiTheme="majorHAnsi" w:hAnsiTheme="majorHAnsi"/>
      <w:color w:val="0B2949" w:themeColor="accent1"/>
      <w:sz w:val="30"/>
    </w:rPr>
  </w:style>
  <w:style w:type="paragraph" w:styleId="List2">
    <w:name w:val="List 2"/>
    <w:basedOn w:val="Normal"/>
    <w:semiHidden/>
    <w:rsid w:val="00DC0A72"/>
    <w:pPr>
      <w:numPr>
        <w:ilvl w:val="1"/>
        <w:numId w:val="5"/>
      </w:numPr>
      <w:contextualSpacing/>
    </w:pPr>
  </w:style>
  <w:style w:type="paragraph" w:styleId="List3">
    <w:name w:val="List 3"/>
    <w:basedOn w:val="Normal"/>
    <w:semiHidden/>
    <w:rsid w:val="00DC0A72"/>
    <w:pPr>
      <w:numPr>
        <w:ilvl w:val="2"/>
        <w:numId w:val="5"/>
      </w:numPr>
      <w:contextualSpacing/>
    </w:pPr>
  </w:style>
  <w:style w:type="paragraph" w:customStyle="1" w:styleId="ListAlpha">
    <w:name w:val="List Alpha"/>
    <w:basedOn w:val="List"/>
    <w:qFormat/>
    <w:rsid w:val="00DC0A72"/>
    <w:pPr>
      <w:numPr>
        <w:numId w:val="16"/>
      </w:numPr>
    </w:pPr>
  </w:style>
  <w:style w:type="paragraph" w:customStyle="1" w:styleId="ListAlpha2">
    <w:name w:val="List Alpha 2"/>
    <w:basedOn w:val="List2"/>
    <w:qFormat/>
    <w:rsid w:val="00DC0A72"/>
    <w:pPr>
      <w:numPr>
        <w:ilvl w:val="0"/>
        <w:numId w:val="39"/>
      </w:numPr>
      <w:spacing w:after="80"/>
      <w:contextualSpacing w:val="0"/>
    </w:pPr>
  </w:style>
  <w:style w:type="paragraph" w:customStyle="1" w:styleId="ListAlpha3">
    <w:name w:val="List Alpha 3"/>
    <w:basedOn w:val="List3"/>
    <w:qFormat/>
    <w:rsid w:val="00DC0A72"/>
    <w:pPr>
      <w:numPr>
        <w:ilvl w:val="0"/>
        <w:numId w:val="40"/>
      </w:numPr>
      <w:spacing w:after="80"/>
      <w:contextualSpacing w:val="0"/>
    </w:pPr>
  </w:style>
  <w:style w:type="paragraph" w:styleId="List4">
    <w:name w:val="List 4"/>
    <w:basedOn w:val="Normal"/>
    <w:semiHidden/>
    <w:rsid w:val="00DC0A72"/>
    <w:pPr>
      <w:numPr>
        <w:ilvl w:val="3"/>
        <w:numId w:val="5"/>
      </w:numPr>
      <w:contextualSpacing/>
    </w:pPr>
  </w:style>
  <w:style w:type="paragraph" w:customStyle="1" w:styleId="Outline1">
    <w:name w:val="Outline 1"/>
    <w:basedOn w:val="List"/>
    <w:semiHidden/>
    <w:rsid w:val="00DC0A72"/>
    <w:pPr>
      <w:numPr>
        <w:numId w:val="0"/>
      </w:numPr>
      <w:spacing w:after="0"/>
    </w:pPr>
  </w:style>
  <w:style w:type="paragraph" w:customStyle="1" w:styleId="Outline2">
    <w:name w:val="Outline 2"/>
    <w:basedOn w:val="List2"/>
    <w:semiHidden/>
    <w:rsid w:val="00DC0A72"/>
    <w:pPr>
      <w:numPr>
        <w:numId w:val="17"/>
      </w:numPr>
      <w:spacing w:after="0"/>
    </w:pPr>
  </w:style>
  <w:style w:type="paragraph" w:customStyle="1" w:styleId="Outline3">
    <w:name w:val="Outline 3"/>
    <w:basedOn w:val="List3"/>
    <w:semiHidden/>
    <w:rsid w:val="00DC0A72"/>
    <w:pPr>
      <w:numPr>
        <w:numId w:val="17"/>
      </w:numPr>
      <w:spacing w:after="0"/>
    </w:pPr>
  </w:style>
  <w:style w:type="paragraph" w:customStyle="1" w:styleId="Outline4">
    <w:name w:val="Outline 4"/>
    <w:basedOn w:val="List4"/>
    <w:semiHidden/>
    <w:rsid w:val="00DC0A72"/>
    <w:pPr>
      <w:numPr>
        <w:ilvl w:val="0"/>
        <w:numId w:val="0"/>
      </w:numPr>
      <w:spacing w:after="0"/>
      <w:ind w:left="1440" w:hanging="360"/>
    </w:pPr>
  </w:style>
  <w:style w:type="character" w:customStyle="1" w:styleId="BoldItalic">
    <w:name w:val="Bold Italic"/>
    <w:basedOn w:val="DefaultParagraphFont"/>
    <w:qFormat/>
    <w:rsid w:val="00DC0A72"/>
    <w:rPr>
      <w:b/>
      <w:i/>
    </w:rPr>
  </w:style>
  <w:style w:type="character" w:customStyle="1" w:styleId="BoldUnderline">
    <w:name w:val="Bold Underline"/>
    <w:basedOn w:val="DefaultParagraphFont"/>
    <w:qFormat/>
    <w:rsid w:val="00DC0A72"/>
    <w:rPr>
      <w:b/>
      <w:u w:val="single"/>
    </w:rPr>
  </w:style>
  <w:style w:type="character" w:customStyle="1" w:styleId="Default">
    <w:name w:val="Default"/>
    <w:basedOn w:val="DefaultParagraphFont"/>
    <w:semiHidden/>
    <w:rsid w:val="00DC0A72"/>
  </w:style>
  <w:style w:type="character" w:customStyle="1" w:styleId="HighlightBlue">
    <w:name w:val="Highlight Blue"/>
    <w:basedOn w:val="DefaultParagraphFont"/>
    <w:semiHidden/>
    <w:rsid w:val="00DC0A72"/>
    <w:rPr>
      <w:bdr w:val="none" w:sz="0" w:space="0" w:color="auto"/>
      <w:shd w:val="clear" w:color="auto" w:fill="D9E8F9" w:themeFill="accent1" w:themeFillTint="1A"/>
    </w:rPr>
  </w:style>
  <w:style w:type="character" w:customStyle="1" w:styleId="HighlightYellow">
    <w:name w:val="Highlight Yellow"/>
    <w:basedOn w:val="DefaultParagraphFont"/>
    <w:semiHidden/>
    <w:rsid w:val="00DC0A72"/>
    <w:rPr>
      <w:bdr w:val="none" w:sz="0" w:space="0" w:color="auto"/>
      <w:shd w:val="clear" w:color="auto" w:fill="FCF0D1" w:themeFill="accent4" w:themeFillTint="33"/>
    </w:rPr>
  </w:style>
  <w:style w:type="character" w:customStyle="1" w:styleId="RunIn">
    <w:name w:val="Run In"/>
    <w:basedOn w:val="DefaultParagraphFont"/>
    <w:qFormat/>
    <w:rsid w:val="00DC0A72"/>
    <w:rPr>
      <w:b/>
      <w:color w:val="000000" w:themeColor="text1"/>
    </w:rPr>
  </w:style>
  <w:style w:type="character" w:customStyle="1" w:styleId="TableTextTight">
    <w:name w:val="Table Text Tight"/>
    <w:basedOn w:val="DefaultParagraphFont"/>
    <w:qFormat/>
    <w:rsid w:val="00DC0A72"/>
    <w:rPr>
      <w:sz w:val="16"/>
    </w:rPr>
  </w:style>
  <w:style w:type="character" w:customStyle="1" w:styleId="TitleSubtitle">
    <w:name w:val="Title_Subtitle"/>
    <w:basedOn w:val="DefaultParagraphFont"/>
    <w:semiHidden/>
    <w:rsid w:val="00DC0A72"/>
    <w:rPr>
      <w:b/>
    </w:rPr>
  </w:style>
  <w:style w:type="table" w:customStyle="1" w:styleId="AlternateTable">
    <w:name w:val="Alternate Table"/>
    <w:basedOn w:val="TableNormal"/>
    <w:rsid w:val="00DC0A72"/>
    <w:pPr>
      <w:spacing w:before="40" w:after="20" w:line="240" w:lineRule="auto"/>
    </w:pPr>
    <w:rPr>
      <w:rFonts w:asciiTheme="majorHAnsi" w:hAnsiTheme="majorHAnsi"/>
      <w:sz w:val="18"/>
    </w:rPr>
    <w:tblPr>
      <w:tblBorders>
        <w:bottom w:val="single" w:sz="4" w:space="0" w:color="046B5C" w:themeColor="text2"/>
        <w:insideH w:val="single" w:sz="4" w:space="0" w:color="5B6771" w:themeColor="accent3"/>
      </w:tblBorders>
      <w:tblCellMar>
        <w:left w:w="58" w:type="dxa"/>
        <w:right w:w="58" w:type="dxa"/>
      </w:tblCellMar>
    </w:tblPr>
    <w:trPr>
      <w:cantSplit/>
    </w:trPr>
    <w:tcPr>
      <w:shd w:val="clear" w:color="auto" w:fill="FFFFFF" w:themeFill="background1"/>
      <w:tcMar>
        <w:top w:w="0" w:type="dxa"/>
        <w:bottom w:w="0" w:type="dxa"/>
      </w:tcMar>
    </w:tcPr>
    <w:tblStylePr w:type="firstRow">
      <w:pPr>
        <w:jc w:val="left"/>
      </w:pPr>
      <w:rPr>
        <w:b/>
        <w:color w:val="FFFFFF" w:themeColor="background1"/>
      </w:rPr>
      <w:tblPr/>
      <w:tcPr>
        <w:tcBorders>
          <w:top w:val="nil"/>
          <w:left w:val="nil"/>
          <w:bottom w:val="single" w:sz="4" w:space="0" w:color="046B5C" w:themeColor="text2"/>
          <w:right w:val="nil"/>
          <w:insideH w:val="nil"/>
          <w:insideV w:val="single" w:sz="4" w:space="0" w:color="FFFFFF" w:themeColor="background1"/>
          <w:tl2br w:val="nil"/>
          <w:tr2bl w:val="nil"/>
        </w:tcBorders>
        <w:shd w:val="clear" w:color="auto" w:fill="046B5C" w:themeFill="text2"/>
      </w:tcPr>
    </w:tblStylePr>
    <w:tblStylePr w:type="lastRow">
      <w:rPr>
        <w:color w:val="000000" w:themeColor="text1"/>
      </w:rPr>
      <w:tblPr/>
      <w:tcPr>
        <w:tcBorders>
          <w:bottom w:val="single" w:sz="4" w:space="0" w:color="046B5C" w:themeColor="text2"/>
        </w:tcBorders>
        <w:shd w:val="clear" w:color="auto" w:fill="FFFFFF" w:themeFill="background1"/>
      </w:tcPr>
    </w:tblStylePr>
    <w:tblStylePr w:type="firstCol">
      <w:tblPr/>
      <w:tcPr>
        <w:tcBorders>
          <w:right w:val="single" w:sz="4" w:space="0" w:color="5B6771" w:themeColor="accent3"/>
        </w:tcBorders>
        <w:shd w:val="clear" w:color="auto" w:fill="FFFFFF" w:themeFill="background1"/>
      </w:tcPr>
    </w:tblStylePr>
    <w:tblStylePr w:type="lastCol">
      <w:tblPr/>
      <w:tcPr>
        <w:tcBorders>
          <w:top w:val="nil"/>
          <w:left w:val="nil"/>
          <w:bottom w:val="single" w:sz="4" w:space="0" w:color="5B6771" w:themeColor="accent3"/>
          <w:right w:val="nil"/>
          <w:insideH w:val="nil"/>
          <w:insideV w:val="nil"/>
          <w:tl2br w:val="nil"/>
          <w:tr2bl w:val="nil"/>
        </w:tcBorders>
        <w:shd w:val="clear" w:color="auto" w:fill="FFFFFF" w:themeFill="background1"/>
      </w:tcPr>
    </w:tblStylePr>
    <w:tblStylePr w:type="neCell">
      <w:pPr>
        <w:jc w:val="left"/>
      </w:pPr>
      <w:tblPr/>
      <w:tcPr>
        <w:tcBorders>
          <w:right w:val="single" w:sz="4" w:space="0" w:color="FFFFFF" w:themeColor="background1"/>
        </w:tcBorders>
        <w:shd w:val="clear" w:color="auto" w:fill="046B5C" w:themeFill="text2"/>
      </w:tcPr>
    </w:tblStylePr>
  </w:style>
  <w:style w:type="character" w:styleId="PlaceholderText">
    <w:name w:val="Placeholder Text"/>
    <w:basedOn w:val="DefaultParagraphFont"/>
    <w:semiHidden/>
    <w:rsid w:val="00DC0A72"/>
    <w:rPr>
      <w:color w:val="808080"/>
    </w:rPr>
  </w:style>
  <w:style w:type="paragraph" w:customStyle="1" w:styleId="TableTextDecimalWide">
    <w:name w:val="Table Text Decimal Wide"/>
    <w:basedOn w:val="TableTextDecimal"/>
    <w:qFormat/>
    <w:rsid w:val="00DC0A72"/>
    <w:pPr>
      <w:tabs>
        <w:tab w:val="clear" w:pos="576"/>
        <w:tab w:val="decimal" w:pos="864"/>
      </w:tabs>
    </w:pPr>
  </w:style>
  <w:style w:type="paragraph" w:customStyle="1" w:styleId="TableTextDecimalNarrow">
    <w:name w:val="Table Text Decimal Narrow"/>
    <w:basedOn w:val="TableTextDecimalWide"/>
    <w:qFormat/>
    <w:rsid w:val="00DC0A72"/>
    <w:pPr>
      <w:tabs>
        <w:tab w:val="clear" w:pos="864"/>
        <w:tab w:val="decimal" w:pos="360"/>
      </w:tabs>
    </w:pPr>
  </w:style>
  <w:style w:type="paragraph" w:styleId="ListBullet4">
    <w:name w:val="List Bullet 4"/>
    <w:basedOn w:val="Normal"/>
    <w:semiHidden/>
    <w:rsid w:val="00DC0A72"/>
    <w:pPr>
      <w:numPr>
        <w:numId w:val="6"/>
      </w:numPr>
      <w:contextualSpacing/>
    </w:pPr>
  </w:style>
  <w:style w:type="paragraph" w:customStyle="1" w:styleId="TitleRule">
    <w:name w:val="Title Rule"/>
    <w:basedOn w:val="Normal"/>
    <w:semiHidden/>
    <w:rsid w:val="00DC0A72"/>
    <w:pPr>
      <w:keepNext/>
      <w:spacing w:before="240" w:after="80"/>
    </w:pPr>
  </w:style>
  <w:style w:type="paragraph" w:styleId="ListBullet5">
    <w:name w:val="List Bullet 5"/>
    <w:basedOn w:val="Normal"/>
    <w:semiHidden/>
    <w:rsid w:val="00DC0A72"/>
    <w:pPr>
      <w:numPr>
        <w:numId w:val="7"/>
      </w:numPr>
      <w:contextualSpacing/>
    </w:pPr>
  </w:style>
  <w:style w:type="paragraph" w:styleId="ListNumber5">
    <w:name w:val="List Number 5"/>
    <w:basedOn w:val="Normal"/>
    <w:semiHidden/>
    <w:rsid w:val="00DC0A72"/>
    <w:pPr>
      <w:numPr>
        <w:numId w:val="11"/>
      </w:numPr>
      <w:spacing w:after="80"/>
    </w:pPr>
  </w:style>
  <w:style w:type="paragraph" w:customStyle="1" w:styleId="Sidebar">
    <w:name w:val="Sidebar"/>
    <w:basedOn w:val="Normal"/>
    <w:qFormat/>
    <w:rsid w:val="00DC0A72"/>
    <w:pPr>
      <w:tabs>
        <w:tab w:val="right" w:pos="4680"/>
      </w:tabs>
      <w:spacing w:after="60" w:line="260" w:lineRule="atLeast"/>
    </w:pPr>
    <w:rPr>
      <w:rFonts w:asciiTheme="majorHAnsi" w:hAnsiTheme="majorHAnsi"/>
      <w:color w:val="444D54" w:themeColor="accent3" w:themeShade="BF"/>
      <w:sz w:val="18"/>
    </w:rPr>
  </w:style>
  <w:style w:type="paragraph" w:customStyle="1" w:styleId="SidebarListBullet">
    <w:name w:val="Sidebar List Bullet"/>
    <w:basedOn w:val="Sidebar"/>
    <w:qFormat/>
    <w:rsid w:val="00DC0A72"/>
    <w:pPr>
      <w:framePr w:hSpace="180" w:wrap="around" w:vAnchor="text" w:hAnchor="text" w:y="21"/>
      <w:numPr>
        <w:numId w:val="20"/>
      </w:numPr>
      <w:suppressOverlap/>
    </w:pPr>
  </w:style>
  <w:style w:type="paragraph" w:customStyle="1" w:styleId="SidebarListNumber">
    <w:name w:val="Sidebar List Number"/>
    <w:basedOn w:val="Sidebar"/>
    <w:qFormat/>
    <w:rsid w:val="00DC0A72"/>
    <w:pPr>
      <w:framePr w:hSpace="115" w:vSpace="58" w:wrap="notBeside" w:vAnchor="text" w:hAnchor="margin" w:y="59"/>
      <w:numPr>
        <w:numId w:val="41"/>
      </w:numPr>
      <w:adjustRightInd w:val="0"/>
    </w:pPr>
  </w:style>
  <w:style w:type="paragraph" w:customStyle="1" w:styleId="TableListBullet2">
    <w:name w:val="Table List Bullet 2"/>
    <w:basedOn w:val="TableListBullet"/>
    <w:qFormat/>
    <w:rsid w:val="00DC0A72"/>
    <w:pPr>
      <w:numPr>
        <w:numId w:val="18"/>
      </w:numPr>
    </w:pPr>
  </w:style>
  <w:style w:type="character" w:customStyle="1" w:styleId="Heading2Char">
    <w:name w:val="Heading 2 Char"/>
    <w:basedOn w:val="DefaultParagraphFont"/>
    <w:link w:val="Heading2"/>
    <w:semiHidden/>
    <w:rsid w:val="00DC0A72"/>
    <w:rPr>
      <w:rFonts w:asciiTheme="majorHAnsi" w:eastAsiaTheme="majorEastAsia" w:hAnsiTheme="majorHAnsi" w:cstheme="majorBidi"/>
      <w:color w:val="081E36" w:themeColor="accent1" w:themeShade="BF"/>
      <w:sz w:val="26"/>
      <w:szCs w:val="26"/>
    </w:rPr>
  </w:style>
  <w:style w:type="character" w:customStyle="1" w:styleId="Heading3Char">
    <w:name w:val="Heading 3 Char"/>
    <w:basedOn w:val="DefaultParagraphFont"/>
    <w:link w:val="Heading3"/>
    <w:semiHidden/>
    <w:rsid w:val="00DC0A72"/>
    <w:rPr>
      <w:rFonts w:asciiTheme="majorHAnsi" w:eastAsiaTheme="majorEastAsia" w:hAnsiTheme="majorHAnsi" w:cstheme="majorBidi"/>
      <w:color w:val="051424" w:themeColor="accent1" w:themeShade="7F"/>
      <w:sz w:val="24"/>
      <w:szCs w:val="24"/>
    </w:rPr>
  </w:style>
  <w:style w:type="character" w:customStyle="1" w:styleId="Heading4Char">
    <w:name w:val="Heading 4 Char"/>
    <w:basedOn w:val="DefaultParagraphFont"/>
    <w:link w:val="Heading4"/>
    <w:semiHidden/>
    <w:rsid w:val="00DC0A72"/>
    <w:rPr>
      <w:rFonts w:asciiTheme="majorHAnsi" w:eastAsiaTheme="majorEastAsia" w:hAnsiTheme="majorHAnsi" w:cstheme="majorBidi"/>
      <w:i/>
      <w:iCs/>
      <w:color w:val="081E36" w:themeColor="accent1" w:themeShade="BF"/>
      <w:sz w:val="20"/>
    </w:rPr>
  </w:style>
  <w:style w:type="character" w:customStyle="1" w:styleId="Heading5Char">
    <w:name w:val="Heading 5 Char"/>
    <w:basedOn w:val="DefaultParagraphFont"/>
    <w:link w:val="Heading5"/>
    <w:semiHidden/>
    <w:rsid w:val="00DC0A72"/>
    <w:rPr>
      <w:rFonts w:asciiTheme="majorHAnsi" w:eastAsiaTheme="majorEastAsia" w:hAnsiTheme="majorHAnsi" w:cstheme="majorBidi"/>
      <w:color w:val="081E36" w:themeColor="accent1" w:themeShade="BF"/>
      <w:sz w:val="20"/>
    </w:rPr>
  </w:style>
  <w:style w:type="character" w:customStyle="1" w:styleId="Heading6Char">
    <w:name w:val="Heading 6 Char"/>
    <w:basedOn w:val="DefaultParagraphFont"/>
    <w:link w:val="Heading6"/>
    <w:semiHidden/>
    <w:rsid w:val="00DC0A72"/>
    <w:rPr>
      <w:rFonts w:asciiTheme="majorHAnsi" w:eastAsiaTheme="majorEastAsia" w:hAnsiTheme="majorHAnsi" w:cstheme="majorBidi"/>
      <w:color w:val="051424" w:themeColor="accent1" w:themeShade="7F"/>
      <w:sz w:val="20"/>
    </w:rPr>
  </w:style>
  <w:style w:type="character" w:customStyle="1" w:styleId="Heading7Char">
    <w:name w:val="Heading 7 Char"/>
    <w:basedOn w:val="DefaultParagraphFont"/>
    <w:link w:val="Heading7"/>
    <w:semiHidden/>
    <w:rsid w:val="00DC0A72"/>
    <w:rPr>
      <w:rFonts w:asciiTheme="majorHAnsi" w:eastAsiaTheme="majorEastAsia" w:hAnsiTheme="majorHAnsi" w:cstheme="majorBidi"/>
      <w:i/>
      <w:iCs/>
      <w:color w:val="051424" w:themeColor="accent1" w:themeShade="7F"/>
      <w:sz w:val="20"/>
    </w:rPr>
  </w:style>
  <w:style w:type="character" w:customStyle="1" w:styleId="Heading8Char">
    <w:name w:val="Heading 8 Char"/>
    <w:basedOn w:val="DefaultParagraphFont"/>
    <w:link w:val="Heading8"/>
    <w:semiHidden/>
    <w:rsid w:val="00DC0A72"/>
    <w:rPr>
      <w:rFonts w:asciiTheme="majorHAnsi" w:eastAsiaTheme="majorEastAsia" w:hAnsiTheme="majorHAnsi" w:cstheme="majorBidi"/>
      <w:color w:val="272727" w:themeColor="text1" w:themeTint="D8"/>
      <w:sz w:val="21"/>
      <w:szCs w:val="21"/>
    </w:rPr>
  </w:style>
  <w:style w:type="paragraph" w:customStyle="1" w:styleId="TableListNumber2">
    <w:name w:val="Table List Number 2"/>
    <w:basedOn w:val="TableListNumber"/>
    <w:qFormat/>
    <w:rsid w:val="00DC0A72"/>
    <w:pPr>
      <w:numPr>
        <w:numId w:val="19"/>
      </w:numPr>
    </w:pPr>
  </w:style>
  <w:style w:type="paragraph" w:styleId="ListContinue3">
    <w:name w:val="List Continue 3"/>
    <w:basedOn w:val="Normal"/>
    <w:qFormat/>
    <w:rsid w:val="00DC0A72"/>
    <w:pPr>
      <w:spacing w:after="80"/>
      <w:ind w:left="540"/>
    </w:pPr>
  </w:style>
  <w:style w:type="paragraph" w:styleId="List5">
    <w:name w:val="List 5"/>
    <w:basedOn w:val="Normal"/>
    <w:semiHidden/>
    <w:rsid w:val="00DC0A72"/>
    <w:pPr>
      <w:numPr>
        <w:ilvl w:val="4"/>
        <w:numId w:val="5"/>
      </w:numPr>
      <w:contextualSpacing/>
    </w:pPr>
  </w:style>
  <w:style w:type="character" w:styleId="UnresolvedMention">
    <w:name w:val="Unresolved Mention"/>
    <w:basedOn w:val="DefaultParagraphFont"/>
    <w:semiHidden/>
    <w:rsid w:val="00DC0A72"/>
    <w:rPr>
      <w:color w:val="605E5C"/>
      <w:shd w:val="clear" w:color="auto" w:fill="E1DFDD"/>
    </w:rPr>
  </w:style>
  <w:style w:type="character" w:customStyle="1" w:styleId="H1Char">
    <w:name w:val="H1 Char"/>
    <w:basedOn w:val="DefaultParagraphFont"/>
    <w:link w:val="H1"/>
    <w:rsid w:val="00DC0A72"/>
    <w:rPr>
      <w:rFonts w:asciiTheme="majorHAnsi" w:eastAsiaTheme="majorEastAsia" w:hAnsiTheme="majorHAnsi" w:cstheme="majorBidi"/>
      <w:color w:val="046B5C" w:themeColor="text2"/>
      <w:sz w:val="30"/>
      <w:szCs w:val="32"/>
    </w:rPr>
  </w:style>
  <w:style w:type="paragraph" w:customStyle="1" w:styleId="ListHead">
    <w:name w:val="List Head"/>
    <w:basedOn w:val="Paragraph"/>
    <w:semiHidden/>
    <w:rsid w:val="00DC0A72"/>
    <w:pPr>
      <w:spacing w:before="240" w:after="0"/>
    </w:pPr>
    <w:rPr>
      <w:b/>
    </w:rPr>
  </w:style>
  <w:style w:type="character" w:customStyle="1" w:styleId="Bold">
    <w:name w:val="Bold"/>
    <w:basedOn w:val="DefaultParagraphFont"/>
    <w:qFormat/>
    <w:rsid w:val="00DC0A72"/>
    <w:rPr>
      <w:b/>
    </w:rPr>
  </w:style>
  <w:style w:type="character" w:customStyle="1" w:styleId="Italic">
    <w:name w:val="Italic"/>
    <w:basedOn w:val="DefaultParagraphFont"/>
    <w:qFormat/>
    <w:rsid w:val="00DC0A72"/>
    <w:rPr>
      <w:i/>
    </w:rPr>
  </w:style>
  <w:style w:type="paragraph" w:customStyle="1" w:styleId="mathematicaorg">
    <w:name w:val="mathematica.org"/>
    <w:link w:val="mathematicaorgChar"/>
    <w:semiHidden/>
    <w:rsid w:val="00DC0A72"/>
    <w:pPr>
      <w:spacing w:after="0" w:line="240" w:lineRule="auto"/>
      <w:jc w:val="right"/>
    </w:pPr>
    <w:rPr>
      <w:rFonts w:asciiTheme="majorHAnsi" w:eastAsia="Times New Roman" w:hAnsiTheme="majorHAnsi" w:cs="Times New Roman"/>
      <w:noProof/>
      <w:spacing w:val="-2"/>
      <w:sz w:val="18"/>
      <w:szCs w:val="19"/>
    </w:rPr>
  </w:style>
  <w:style w:type="table" w:customStyle="1" w:styleId="CoverTable">
    <w:name w:val="Cover Table"/>
    <w:basedOn w:val="TableNormal"/>
    <w:rsid w:val="00DC0A72"/>
    <w:pPr>
      <w:spacing w:after="0" w:line="240" w:lineRule="auto"/>
    </w:pPr>
    <w:rPr>
      <w:rFonts w:eastAsiaTheme="minorEastAsia"/>
      <w:szCs w:val="24"/>
    </w:rPr>
    <w:tblPr/>
    <w:tcPr>
      <w:noWrap/>
      <w:tcMar>
        <w:left w:w="0" w:type="dxa"/>
        <w:right w:w="0" w:type="dxa"/>
      </w:tcMar>
    </w:tcPr>
  </w:style>
  <w:style w:type="paragraph" w:customStyle="1" w:styleId="CoverRFP">
    <w:name w:val="Cover RFP"/>
    <w:basedOn w:val="CoverDate"/>
    <w:semiHidden/>
    <w:rsid w:val="00DC0A72"/>
    <w:pPr>
      <w:spacing w:before="3000" w:line="252" w:lineRule="auto"/>
    </w:pPr>
    <w:rPr>
      <w:rFonts w:eastAsia="Times New Roman" w:cs="Times New Roman"/>
      <w:bCs w:val="0"/>
      <w:spacing w:val="2"/>
      <w:szCs w:val="20"/>
    </w:rPr>
  </w:style>
  <w:style w:type="numbering" w:customStyle="1" w:styleId="Feature2">
    <w:name w:val="Feature 2"/>
    <w:semiHidden/>
    <w:rsid w:val="00DC0A72"/>
    <w:pPr>
      <w:numPr>
        <w:numId w:val="1"/>
      </w:numPr>
    </w:pPr>
  </w:style>
  <w:style w:type="paragraph" w:customStyle="1" w:styleId="Covertextborder">
    <w:name w:val="Cover text border"/>
    <w:semiHidden/>
    <w:rsid w:val="00DC0A72"/>
    <w:pPr>
      <w:pBdr>
        <w:bottom w:val="single" w:sz="36" w:space="1" w:color="F1B51C" w:themeColor="accent4"/>
      </w:pBdr>
      <w:spacing w:before="120" w:after="240" w:line="240" w:lineRule="auto"/>
      <w:ind w:right="6480"/>
    </w:pPr>
    <w:rPr>
      <w:rFonts w:ascii="Arial" w:hAnsi="Arial" w:cs="Arial"/>
      <w:color w:val="0B2949" w:themeColor="accent1"/>
      <w:spacing w:val="2"/>
      <w:sz w:val="8"/>
      <w:szCs w:val="4"/>
    </w:rPr>
  </w:style>
  <w:style w:type="paragraph" w:customStyle="1" w:styleId="CoverRFPNumber">
    <w:name w:val="Cover RFP Number"/>
    <w:semiHidden/>
    <w:rsid w:val="00DC0A72"/>
    <w:pPr>
      <w:widowControl w:val="0"/>
      <w:spacing w:before="1600" w:after="0" w:line="252" w:lineRule="auto"/>
    </w:pPr>
    <w:rPr>
      <w:rFonts w:ascii="Arial" w:hAnsi="Arial" w:cs="Arial"/>
      <w:b/>
      <w:color w:val="0B2949" w:themeColor="accent1"/>
      <w:spacing w:val="2"/>
      <w:sz w:val="24"/>
      <w:szCs w:val="24"/>
    </w:rPr>
  </w:style>
  <w:style w:type="paragraph" w:customStyle="1" w:styleId="CoverProposalVolume">
    <w:name w:val="Cover Proposal Volume"/>
    <w:semiHidden/>
    <w:rsid w:val="00DC0A72"/>
    <w:pPr>
      <w:spacing w:after="0" w:line="252" w:lineRule="auto"/>
    </w:pPr>
    <w:rPr>
      <w:rFonts w:ascii="Arial" w:hAnsi="Arial" w:cs="Arial"/>
      <w:b/>
      <w:color w:val="0B2949" w:themeColor="accent1"/>
      <w:spacing w:val="2"/>
      <w:sz w:val="24"/>
      <w:szCs w:val="24"/>
    </w:rPr>
  </w:style>
  <w:style w:type="paragraph" w:customStyle="1" w:styleId="Reference">
    <w:name w:val="Reference"/>
    <w:basedOn w:val="ListContinue"/>
    <w:link w:val="ReferenceChar"/>
    <w:qFormat/>
    <w:rsid w:val="00DC0A72"/>
    <w:pPr>
      <w:keepLines/>
      <w:spacing w:line="240" w:lineRule="atLeast"/>
      <w:ind w:left="288" w:hanging="288"/>
    </w:pPr>
    <w:rPr>
      <w:sz w:val="18"/>
    </w:rPr>
  </w:style>
  <w:style w:type="paragraph" w:styleId="TOC4">
    <w:name w:val="toc 4"/>
    <w:basedOn w:val="Normal"/>
    <w:next w:val="Normal"/>
    <w:semiHidden/>
    <w:rsid w:val="00DC0A72"/>
    <w:pPr>
      <w:spacing w:after="100"/>
      <w:ind w:left="1728" w:hanging="432"/>
    </w:pPr>
    <w:rPr>
      <w:rFonts w:asciiTheme="majorHAnsi" w:hAnsiTheme="majorHAnsi"/>
      <w:sz w:val="19"/>
    </w:rPr>
  </w:style>
  <w:style w:type="paragraph" w:customStyle="1" w:styleId="Disclaimer">
    <w:name w:val="Disclaimer"/>
    <w:basedOn w:val="Footer"/>
    <w:semiHidden/>
    <w:rsid w:val="00DC0A72"/>
    <w:pPr>
      <w:pBdr>
        <w:top w:val="single" w:sz="6" w:space="4" w:color="0B2949" w:themeColor="accent1"/>
      </w:pBdr>
      <w:spacing w:before="80" w:after="80"/>
    </w:pPr>
    <w:rPr>
      <w:rFonts w:eastAsia="Times New Roman" w:cs="Times New Roman"/>
      <w:szCs w:val="20"/>
    </w:rPr>
  </w:style>
  <w:style w:type="character" w:customStyle="1" w:styleId="Subscript">
    <w:name w:val="Subscript"/>
    <w:basedOn w:val="DefaultParagraphFont"/>
    <w:qFormat/>
    <w:rsid w:val="00DC0A72"/>
    <w:rPr>
      <w:vertAlign w:val="subscript"/>
    </w:rPr>
  </w:style>
  <w:style w:type="paragraph" w:styleId="Salutation">
    <w:name w:val="Salutation"/>
    <w:basedOn w:val="Normal"/>
    <w:next w:val="Paragraph"/>
    <w:link w:val="SalutationChar"/>
    <w:semiHidden/>
    <w:rsid w:val="00DC0A72"/>
    <w:pPr>
      <w:tabs>
        <w:tab w:val="left" w:pos="1440"/>
      </w:tabs>
      <w:spacing w:line="245" w:lineRule="auto"/>
      <w:ind w:left="1440" w:hanging="1440"/>
    </w:pPr>
  </w:style>
  <w:style w:type="character" w:customStyle="1" w:styleId="SalutationChar">
    <w:name w:val="Salutation Char"/>
    <w:basedOn w:val="DefaultParagraphFont"/>
    <w:link w:val="Salutation"/>
    <w:semiHidden/>
    <w:rsid w:val="00DC0A72"/>
    <w:rPr>
      <w:sz w:val="20"/>
    </w:rPr>
  </w:style>
  <w:style w:type="numbering" w:styleId="111111">
    <w:name w:val="Outline List 2"/>
    <w:basedOn w:val="NoList"/>
    <w:semiHidden/>
    <w:unhideWhenUsed/>
    <w:rsid w:val="00DC0A72"/>
    <w:pPr>
      <w:numPr>
        <w:numId w:val="2"/>
      </w:numPr>
    </w:pPr>
  </w:style>
  <w:style w:type="character" w:styleId="Hyperlink">
    <w:name w:val="Hyperlink"/>
    <w:basedOn w:val="DefaultParagraphFont"/>
    <w:unhideWhenUsed/>
    <w:qFormat/>
    <w:rsid w:val="00DC0A72"/>
    <w:rPr>
      <w:color w:val="0563C1" w:themeColor="hyperlink"/>
      <w:u w:val="single"/>
    </w:rPr>
  </w:style>
  <w:style w:type="character" w:customStyle="1" w:styleId="Superscript">
    <w:name w:val="Superscript"/>
    <w:basedOn w:val="DefaultParagraphFont"/>
    <w:qFormat/>
    <w:rsid w:val="00DC0A72"/>
    <w:rPr>
      <w:vertAlign w:val="superscript"/>
    </w:rPr>
  </w:style>
  <w:style w:type="character" w:customStyle="1" w:styleId="Underline">
    <w:name w:val="Underline"/>
    <w:basedOn w:val="DefaultParagraphFont"/>
    <w:qFormat/>
    <w:rsid w:val="00DC0A72"/>
    <w:rPr>
      <w:u w:val="single"/>
    </w:rPr>
  </w:style>
  <w:style w:type="paragraph" w:styleId="FootnoteText">
    <w:name w:val="footnote text"/>
    <w:basedOn w:val="Normal"/>
    <w:link w:val="FootnoteTextChar"/>
    <w:semiHidden/>
    <w:rsid w:val="00DC0A72"/>
    <w:pPr>
      <w:spacing w:after="40" w:line="220" w:lineRule="atLeast"/>
    </w:pPr>
    <w:rPr>
      <w:sz w:val="18"/>
      <w:szCs w:val="20"/>
    </w:rPr>
  </w:style>
  <w:style w:type="character" w:customStyle="1" w:styleId="FootnoteTextChar">
    <w:name w:val="Footnote Text Char"/>
    <w:basedOn w:val="DefaultParagraphFont"/>
    <w:link w:val="FootnoteText"/>
    <w:semiHidden/>
    <w:rsid w:val="00DC0A72"/>
    <w:rPr>
      <w:sz w:val="18"/>
      <w:szCs w:val="20"/>
    </w:rPr>
  </w:style>
  <w:style w:type="character" w:styleId="FootnoteReference">
    <w:name w:val="footnote reference"/>
    <w:basedOn w:val="DefaultParagraphFont"/>
    <w:semiHidden/>
    <w:rsid w:val="00DC0A72"/>
    <w:rPr>
      <w:vertAlign w:val="superscript"/>
    </w:rPr>
  </w:style>
  <w:style w:type="paragraph" w:styleId="EndnoteText">
    <w:name w:val="endnote text"/>
    <w:basedOn w:val="Normal"/>
    <w:link w:val="EndnoteTextChar"/>
    <w:semiHidden/>
    <w:rsid w:val="00DC0A72"/>
    <w:pPr>
      <w:spacing w:after="60" w:line="220" w:lineRule="atLeast"/>
    </w:pPr>
    <w:rPr>
      <w:sz w:val="18"/>
      <w:szCs w:val="20"/>
    </w:rPr>
  </w:style>
  <w:style w:type="character" w:customStyle="1" w:styleId="EndnoteTextChar">
    <w:name w:val="Endnote Text Char"/>
    <w:basedOn w:val="DefaultParagraphFont"/>
    <w:link w:val="EndnoteText"/>
    <w:semiHidden/>
    <w:rsid w:val="00DC0A72"/>
    <w:rPr>
      <w:sz w:val="18"/>
      <w:szCs w:val="20"/>
    </w:rPr>
  </w:style>
  <w:style w:type="paragraph" w:styleId="NoSpacing">
    <w:name w:val="No Spacing"/>
    <w:qFormat/>
    <w:rsid w:val="00DC0A72"/>
    <w:pPr>
      <w:spacing w:after="0" w:line="280" w:lineRule="atLeast"/>
    </w:pPr>
    <w:rPr>
      <w:sz w:val="20"/>
    </w:rPr>
  </w:style>
  <w:style w:type="numbering" w:styleId="1ai">
    <w:name w:val="Outline List 1"/>
    <w:basedOn w:val="NoList"/>
    <w:semiHidden/>
    <w:unhideWhenUsed/>
    <w:rsid w:val="00DC0A72"/>
    <w:pPr>
      <w:numPr>
        <w:numId w:val="3"/>
      </w:numPr>
    </w:pPr>
  </w:style>
  <w:style w:type="numbering" w:styleId="ArticleSection">
    <w:name w:val="Outline List 3"/>
    <w:basedOn w:val="NoList"/>
    <w:semiHidden/>
    <w:unhideWhenUsed/>
    <w:rsid w:val="00DC0A72"/>
    <w:pPr>
      <w:numPr>
        <w:numId w:val="4"/>
      </w:numPr>
    </w:pPr>
  </w:style>
  <w:style w:type="table" w:styleId="ColorfulGrid">
    <w:name w:val="Colorful Grid"/>
    <w:basedOn w:val="TableNormal"/>
    <w:unhideWhenUsed/>
    <w:rsid w:val="00DC0A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nhideWhenUsed/>
    <w:rsid w:val="00DC0A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4D3F3" w:themeFill="accent1" w:themeFillTint="33"/>
    </w:tcPr>
    <w:tblStylePr w:type="firstRow">
      <w:rPr>
        <w:b/>
        <w:bCs/>
      </w:rPr>
      <w:tblPr/>
      <w:tcPr>
        <w:shd w:val="clear" w:color="auto" w:fill="6AA7E8" w:themeFill="accent1" w:themeFillTint="66"/>
      </w:tcPr>
    </w:tblStylePr>
    <w:tblStylePr w:type="lastRow">
      <w:rPr>
        <w:b/>
        <w:bCs/>
        <w:color w:val="000000" w:themeColor="text1"/>
      </w:rPr>
      <w:tblPr/>
      <w:tcPr>
        <w:shd w:val="clear" w:color="auto" w:fill="6AA7E8" w:themeFill="accent1" w:themeFillTint="66"/>
      </w:tcPr>
    </w:tblStylePr>
    <w:tblStylePr w:type="firstCol">
      <w:rPr>
        <w:color w:val="FFFFFF" w:themeColor="background1"/>
      </w:rPr>
      <w:tblPr/>
      <w:tcPr>
        <w:shd w:val="clear" w:color="auto" w:fill="081E36" w:themeFill="accent1" w:themeFillShade="BF"/>
      </w:tcPr>
    </w:tblStylePr>
    <w:tblStylePr w:type="lastCol">
      <w:rPr>
        <w:color w:val="FFFFFF" w:themeColor="background1"/>
      </w:rPr>
      <w:tblPr/>
      <w:tcPr>
        <w:shd w:val="clear" w:color="auto" w:fill="081E36" w:themeFill="accent1" w:themeFillShade="BF"/>
      </w:tcPr>
    </w:tblStylePr>
    <w:tblStylePr w:type="band1Vert">
      <w:tblPr/>
      <w:tcPr>
        <w:shd w:val="clear" w:color="auto" w:fill="4692E3" w:themeFill="accent1" w:themeFillTint="7F"/>
      </w:tcPr>
    </w:tblStylePr>
    <w:tblStylePr w:type="band1Horz">
      <w:tblPr/>
      <w:tcPr>
        <w:shd w:val="clear" w:color="auto" w:fill="4692E3" w:themeFill="accent1" w:themeFillTint="7F"/>
      </w:tcPr>
    </w:tblStylePr>
  </w:style>
  <w:style w:type="table" w:styleId="ColorfulGrid-Accent2">
    <w:name w:val="Colorful Grid Accent 2"/>
    <w:basedOn w:val="TableNormal"/>
    <w:unhideWhenUsed/>
    <w:rsid w:val="00DC0A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6D3D2" w:themeFill="accent2" w:themeFillTint="33"/>
    </w:tcPr>
    <w:tblStylePr w:type="firstRow">
      <w:rPr>
        <w:b/>
        <w:bCs/>
      </w:rPr>
      <w:tblPr/>
      <w:tcPr>
        <w:shd w:val="clear" w:color="auto" w:fill="EEA7A6" w:themeFill="accent2" w:themeFillTint="66"/>
      </w:tcPr>
    </w:tblStylePr>
    <w:tblStylePr w:type="lastRow">
      <w:rPr>
        <w:b/>
        <w:bCs/>
        <w:color w:val="000000" w:themeColor="text1"/>
      </w:rPr>
      <w:tblPr/>
      <w:tcPr>
        <w:shd w:val="clear" w:color="auto" w:fill="EEA7A6" w:themeFill="accent2" w:themeFillTint="66"/>
      </w:tcPr>
    </w:tblStylePr>
    <w:tblStylePr w:type="firstCol">
      <w:rPr>
        <w:color w:val="FFFFFF" w:themeColor="background1"/>
      </w:rPr>
      <w:tblPr/>
      <w:tcPr>
        <w:shd w:val="clear" w:color="auto" w:fill="9B201D" w:themeFill="accent2" w:themeFillShade="BF"/>
      </w:tcPr>
    </w:tblStylePr>
    <w:tblStylePr w:type="lastCol">
      <w:rPr>
        <w:color w:val="FFFFFF" w:themeColor="background1"/>
      </w:rPr>
      <w:tblPr/>
      <w:tcPr>
        <w:shd w:val="clear" w:color="auto" w:fill="9B201D" w:themeFill="accent2" w:themeFillShade="BF"/>
      </w:tcPr>
    </w:tblStylePr>
    <w:tblStylePr w:type="band1Vert">
      <w:tblPr/>
      <w:tcPr>
        <w:shd w:val="clear" w:color="auto" w:fill="EA9290" w:themeFill="accent2" w:themeFillTint="7F"/>
      </w:tcPr>
    </w:tblStylePr>
    <w:tblStylePr w:type="band1Horz">
      <w:tblPr/>
      <w:tcPr>
        <w:shd w:val="clear" w:color="auto" w:fill="EA9290" w:themeFill="accent2" w:themeFillTint="7F"/>
      </w:tcPr>
    </w:tblStylePr>
  </w:style>
  <w:style w:type="table" w:styleId="ColorfulGrid-Accent3">
    <w:name w:val="Colorful Grid Accent 3"/>
    <w:basedOn w:val="TableNormal"/>
    <w:unhideWhenUsed/>
    <w:rsid w:val="00DC0A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DE0E3" w:themeFill="accent3" w:themeFillTint="33"/>
    </w:tcPr>
    <w:tblStylePr w:type="firstRow">
      <w:rPr>
        <w:b/>
        <w:bCs/>
      </w:rPr>
      <w:tblPr/>
      <w:tcPr>
        <w:shd w:val="clear" w:color="auto" w:fill="BBC2C8" w:themeFill="accent3" w:themeFillTint="66"/>
      </w:tcPr>
    </w:tblStylePr>
    <w:tblStylePr w:type="lastRow">
      <w:rPr>
        <w:b/>
        <w:bCs/>
        <w:color w:val="000000" w:themeColor="text1"/>
      </w:rPr>
      <w:tblPr/>
      <w:tcPr>
        <w:shd w:val="clear" w:color="auto" w:fill="BBC2C8" w:themeFill="accent3" w:themeFillTint="66"/>
      </w:tcPr>
    </w:tblStylePr>
    <w:tblStylePr w:type="firstCol">
      <w:rPr>
        <w:color w:val="FFFFFF" w:themeColor="background1"/>
      </w:rPr>
      <w:tblPr/>
      <w:tcPr>
        <w:shd w:val="clear" w:color="auto" w:fill="444D54" w:themeFill="accent3" w:themeFillShade="BF"/>
      </w:tcPr>
    </w:tblStylePr>
    <w:tblStylePr w:type="lastCol">
      <w:rPr>
        <w:color w:val="FFFFFF" w:themeColor="background1"/>
      </w:rPr>
      <w:tblPr/>
      <w:tcPr>
        <w:shd w:val="clear" w:color="auto" w:fill="444D54" w:themeFill="accent3" w:themeFillShade="BF"/>
      </w:tcPr>
    </w:tblStylePr>
    <w:tblStylePr w:type="band1Vert">
      <w:tblPr/>
      <w:tcPr>
        <w:shd w:val="clear" w:color="auto" w:fill="AAB3BB" w:themeFill="accent3" w:themeFillTint="7F"/>
      </w:tcPr>
    </w:tblStylePr>
    <w:tblStylePr w:type="band1Horz">
      <w:tblPr/>
      <w:tcPr>
        <w:shd w:val="clear" w:color="auto" w:fill="AAB3BB" w:themeFill="accent3" w:themeFillTint="7F"/>
      </w:tcPr>
    </w:tblStylePr>
  </w:style>
  <w:style w:type="table" w:styleId="ColorfulGrid-Accent4">
    <w:name w:val="Colorful Grid Accent 4"/>
    <w:basedOn w:val="TableNormal"/>
    <w:unhideWhenUsed/>
    <w:rsid w:val="00DC0A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F0D1" w:themeFill="accent4" w:themeFillTint="33"/>
    </w:tcPr>
    <w:tblStylePr w:type="firstRow">
      <w:rPr>
        <w:b/>
        <w:bCs/>
      </w:rPr>
      <w:tblPr/>
      <w:tcPr>
        <w:shd w:val="clear" w:color="auto" w:fill="F9E1A3" w:themeFill="accent4" w:themeFillTint="66"/>
      </w:tcPr>
    </w:tblStylePr>
    <w:tblStylePr w:type="lastRow">
      <w:rPr>
        <w:b/>
        <w:bCs/>
        <w:color w:val="000000" w:themeColor="text1"/>
      </w:rPr>
      <w:tblPr/>
      <w:tcPr>
        <w:shd w:val="clear" w:color="auto" w:fill="F9E1A3" w:themeFill="accent4" w:themeFillTint="66"/>
      </w:tcPr>
    </w:tblStylePr>
    <w:tblStylePr w:type="firstCol">
      <w:rPr>
        <w:color w:val="FFFFFF" w:themeColor="background1"/>
      </w:rPr>
      <w:tblPr/>
      <w:tcPr>
        <w:shd w:val="clear" w:color="auto" w:fill="BD8B0B" w:themeFill="accent4" w:themeFillShade="BF"/>
      </w:tcPr>
    </w:tblStylePr>
    <w:tblStylePr w:type="lastCol">
      <w:rPr>
        <w:color w:val="FFFFFF" w:themeColor="background1"/>
      </w:rPr>
      <w:tblPr/>
      <w:tcPr>
        <w:shd w:val="clear" w:color="auto" w:fill="BD8B0B" w:themeFill="accent4" w:themeFillShade="BF"/>
      </w:tcPr>
    </w:tblStylePr>
    <w:tblStylePr w:type="band1Vert">
      <w:tblPr/>
      <w:tcPr>
        <w:shd w:val="clear" w:color="auto" w:fill="F8DA8D" w:themeFill="accent4" w:themeFillTint="7F"/>
      </w:tcPr>
    </w:tblStylePr>
    <w:tblStylePr w:type="band1Horz">
      <w:tblPr/>
      <w:tcPr>
        <w:shd w:val="clear" w:color="auto" w:fill="F8DA8D" w:themeFill="accent4" w:themeFillTint="7F"/>
      </w:tcPr>
    </w:tblStylePr>
  </w:style>
  <w:style w:type="table" w:styleId="ColorfulGrid-Accent5">
    <w:name w:val="Colorful Grid Accent 5"/>
    <w:basedOn w:val="TableNormal"/>
    <w:unhideWhenUsed/>
    <w:rsid w:val="00DC0A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4F5F5" w:themeFill="accent5" w:themeFillTint="33"/>
    </w:tcPr>
    <w:tblStylePr w:type="firstRow">
      <w:rPr>
        <w:b/>
        <w:bCs/>
      </w:rPr>
      <w:tblPr/>
      <w:tcPr>
        <w:shd w:val="clear" w:color="auto" w:fill="8AEBEC" w:themeFill="accent5" w:themeFillTint="66"/>
      </w:tcPr>
    </w:tblStylePr>
    <w:tblStylePr w:type="lastRow">
      <w:rPr>
        <w:b/>
        <w:bCs/>
        <w:color w:val="000000" w:themeColor="text1"/>
      </w:rPr>
      <w:tblPr/>
      <w:tcPr>
        <w:shd w:val="clear" w:color="auto" w:fill="8AEBEC" w:themeFill="accent5" w:themeFillTint="66"/>
      </w:tcPr>
    </w:tblStylePr>
    <w:tblStylePr w:type="firstCol">
      <w:rPr>
        <w:color w:val="FFFFFF" w:themeColor="background1"/>
      </w:rPr>
      <w:tblPr/>
      <w:tcPr>
        <w:shd w:val="clear" w:color="auto" w:fill="126D6E" w:themeFill="accent5" w:themeFillShade="BF"/>
      </w:tcPr>
    </w:tblStylePr>
    <w:tblStylePr w:type="lastCol">
      <w:rPr>
        <w:color w:val="FFFFFF" w:themeColor="background1"/>
      </w:rPr>
      <w:tblPr/>
      <w:tcPr>
        <w:shd w:val="clear" w:color="auto" w:fill="126D6E" w:themeFill="accent5" w:themeFillShade="BF"/>
      </w:tcPr>
    </w:tblStylePr>
    <w:tblStylePr w:type="band1Vert">
      <w:tblPr/>
      <w:tcPr>
        <w:shd w:val="clear" w:color="auto" w:fill="6DE6E7" w:themeFill="accent5" w:themeFillTint="7F"/>
      </w:tcPr>
    </w:tblStylePr>
    <w:tblStylePr w:type="band1Horz">
      <w:tblPr/>
      <w:tcPr>
        <w:shd w:val="clear" w:color="auto" w:fill="6DE6E7" w:themeFill="accent5" w:themeFillTint="7F"/>
      </w:tcPr>
    </w:tblStylePr>
  </w:style>
  <w:style w:type="table" w:styleId="ColorfulGrid-Accent6">
    <w:name w:val="Colorful Grid Accent 6"/>
    <w:basedOn w:val="TableNormal"/>
    <w:unhideWhenUsed/>
    <w:rsid w:val="00DC0A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F7E5" w:themeFill="accent6" w:themeFillTint="33"/>
    </w:tcPr>
    <w:tblStylePr w:type="firstRow">
      <w:rPr>
        <w:b/>
        <w:bCs/>
      </w:rPr>
      <w:tblPr/>
      <w:tcPr>
        <w:shd w:val="clear" w:color="auto" w:fill="8EEFCC" w:themeFill="accent6" w:themeFillTint="66"/>
      </w:tcPr>
    </w:tblStylePr>
    <w:tblStylePr w:type="lastRow">
      <w:rPr>
        <w:b/>
        <w:bCs/>
        <w:color w:val="000000" w:themeColor="text1"/>
      </w:rPr>
      <w:tblPr/>
      <w:tcPr>
        <w:shd w:val="clear" w:color="auto" w:fill="8EEFCC" w:themeFill="accent6" w:themeFillTint="66"/>
      </w:tcPr>
    </w:tblStylePr>
    <w:tblStylePr w:type="firstCol">
      <w:rPr>
        <w:color w:val="FFFFFF" w:themeColor="background1"/>
      </w:rPr>
      <w:tblPr/>
      <w:tcPr>
        <w:shd w:val="clear" w:color="auto" w:fill="117C55" w:themeFill="accent6" w:themeFillShade="BF"/>
      </w:tcPr>
    </w:tblStylePr>
    <w:tblStylePr w:type="lastCol">
      <w:rPr>
        <w:color w:val="FFFFFF" w:themeColor="background1"/>
      </w:rPr>
      <w:tblPr/>
      <w:tcPr>
        <w:shd w:val="clear" w:color="auto" w:fill="117C55" w:themeFill="accent6" w:themeFillShade="BF"/>
      </w:tcPr>
    </w:tblStylePr>
    <w:tblStylePr w:type="band1Vert">
      <w:tblPr/>
      <w:tcPr>
        <w:shd w:val="clear" w:color="auto" w:fill="72EBC0" w:themeFill="accent6" w:themeFillTint="7F"/>
      </w:tcPr>
    </w:tblStylePr>
    <w:tblStylePr w:type="band1Horz">
      <w:tblPr/>
      <w:tcPr>
        <w:shd w:val="clear" w:color="auto" w:fill="72EBC0" w:themeFill="accent6" w:themeFillTint="7F"/>
      </w:tcPr>
    </w:tblStylePr>
  </w:style>
  <w:style w:type="table" w:styleId="ColorfulList">
    <w:name w:val="Colorful List"/>
    <w:basedOn w:val="TableNormal"/>
    <w:unhideWhenUsed/>
    <w:rsid w:val="00DC0A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6221F" w:themeFill="accent2" w:themeFillShade="CC"/>
      </w:tcPr>
    </w:tblStylePr>
    <w:tblStylePr w:type="lastRow">
      <w:rPr>
        <w:b/>
        <w:bCs/>
        <w:color w:val="A62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nhideWhenUsed/>
    <w:rsid w:val="00DC0A72"/>
    <w:pPr>
      <w:spacing w:after="0" w:line="240" w:lineRule="auto"/>
    </w:pPr>
    <w:rPr>
      <w:color w:val="000000" w:themeColor="text1"/>
    </w:rPr>
    <w:tblPr>
      <w:tblStyleRowBandSize w:val="1"/>
      <w:tblStyleColBandSize w:val="1"/>
    </w:tblPr>
    <w:tcPr>
      <w:shd w:val="clear" w:color="auto" w:fill="DAE9F9" w:themeFill="accent1" w:themeFillTint="19"/>
    </w:tcPr>
    <w:tblStylePr w:type="firstRow">
      <w:rPr>
        <w:b/>
        <w:bCs/>
        <w:color w:val="FFFFFF" w:themeColor="background1"/>
      </w:rPr>
      <w:tblPr/>
      <w:tcPr>
        <w:tcBorders>
          <w:bottom w:val="single" w:sz="12" w:space="0" w:color="FFFFFF" w:themeColor="background1"/>
        </w:tcBorders>
        <w:shd w:val="clear" w:color="auto" w:fill="A6221F" w:themeFill="accent2" w:themeFillShade="CC"/>
      </w:tcPr>
    </w:tblStylePr>
    <w:tblStylePr w:type="lastRow">
      <w:rPr>
        <w:b/>
        <w:bCs/>
        <w:color w:val="A62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3C8F1" w:themeFill="accent1" w:themeFillTint="3F"/>
      </w:tcPr>
    </w:tblStylePr>
    <w:tblStylePr w:type="band1Horz">
      <w:tblPr/>
      <w:tcPr>
        <w:shd w:val="clear" w:color="auto" w:fill="B4D3F3" w:themeFill="accent1" w:themeFillTint="33"/>
      </w:tcPr>
    </w:tblStylePr>
  </w:style>
  <w:style w:type="table" w:styleId="ColorfulList-Accent2">
    <w:name w:val="Colorful List Accent 2"/>
    <w:basedOn w:val="TableNormal"/>
    <w:unhideWhenUsed/>
    <w:rsid w:val="00DC0A72"/>
    <w:pPr>
      <w:spacing w:after="0" w:line="240" w:lineRule="auto"/>
    </w:pPr>
    <w:rPr>
      <w:color w:val="000000" w:themeColor="text1"/>
    </w:rPr>
    <w:tblPr>
      <w:tblStyleRowBandSize w:val="1"/>
      <w:tblStyleColBandSize w:val="1"/>
    </w:tblPr>
    <w:tcPr>
      <w:shd w:val="clear" w:color="auto" w:fill="FBE9E9" w:themeFill="accent2" w:themeFillTint="19"/>
    </w:tcPr>
    <w:tblStylePr w:type="firstRow">
      <w:rPr>
        <w:b/>
        <w:bCs/>
        <w:color w:val="FFFFFF" w:themeColor="background1"/>
      </w:rPr>
      <w:tblPr/>
      <w:tcPr>
        <w:tcBorders>
          <w:bottom w:val="single" w:sz="12" w:space="0" w:color="FFFFFF" w:themeColor="background1"/>
        </w:tcBorders>
        <w:shd w:val="clear" w:color="auto" w:fill="A6221F" w:themeFill="accent2" w:themeFillShade="CC"/>
      </w:tcPr>
    </w:tblStylePr>
    <w:tblStylePr w:type="lastRow">
      <w:rPr>
        <w:b/>
        <w:bCs/>
        <w:color w:val="A62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C9C8" w:themeFill="accent2" w:themeFillTint="3F"/>
      </w:tcPr>
    </w:tblStylePr>
    <w:tblStylePr w:type="band1Horz">
      <w:tblPr/>
      <w:tcPr>
        <w:shd w:val="clear" w:color="auto" w:fill="F6D3D2" w:themeFill="accent2" w:themeFillTint="33"/>
      </w:tcPr>
    </w:tblStylePr>
  </w:style>
  <w:style w:type="table" w:styleId="ColorfulList-Accent3">
    <w:name w:val="Colorful List Accent 3"/>
    <w:basedOn w:val="TableNormal"/>
    <w:unhideWhenUsed/>
    <w:rsid w:val="00DC0A72"/>
    <w:pPr>
      <w:spacing w:after="0" w:line="240" w:lineRule="auto"/>
    </w:pPr>
    <w:rPr>
      <w:color w:val="000000" w:themeColor="text1"/>
    </w:rPr>
    <w:tblPr>
      <w:tblStyleRowBandSize w:val="1"/>
      <w:tblStyleColBandSize w:val="1"/>
    </w:tblPr>
    <w:tcPr>
      <w:shd w:val="clear" w:color="auto" w:fill="EEF0F1" w:themeFill="accent3" w:themeFillTint="19"/>
    </w:tcPr>
    <w:tblStylePr w:type="firstRow">
      <w:rPr>
        <w:b/>
        <w:bCs/>
        <w:color w:val="FFFFFF" w:themeColor="background1"/>
      </w:rPr>
      <w:tblPr/>
      <w:tcPr>
        <w:tcBorders>
          <w:bottom w:val="single" w:sz="12" w:space="0" w:color="FFFFFF" w:themeColor="background1"/>
        </w:tcBorders>
        <w:shd w:val="clear" w:color="auto" w:fill="CA940C" w:themeFill="accent4" w:themeFillShade="CC"/>
      </w:tcPr>
    </w:tblStylePr>
    <w:tblStylePr w:type="lastRow">
      <w:rPr>
        <w:b/>
        <w:bCs/>
        <w:color w:val="CA94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D9DD" w:themeFill="accent3" w:themeFillTint="3F"/>
      </w:tcPr>
    </w:tblStylePr>
    <w:tblStylePr w:type="band1Horz">
      <w:tblPr/>
      <w:tcPr>
        <w:shd w:val="clear" w:color="auto" w:fill="DDE0E3" w:themeFill="accent3" w:themeFillTint="33"/>
      </w:tcPr>
    </w:tblStylePr>
  </w:style>
  <w:style w:type="table" w:styleId="ColorfulList-Accent4">
    <w:name w:val="Colorful List Accent 4"/>
    <w:basedOn w:val="TableNormal"/>
    <w:unhideWhenUsed/>
    <w:rsid w:val="00DC0A72"/>
    <w:pPr>
      <w:spacing w:after="0" w:line="240" w:lineRule="auto"/>
    </w:pPr>
    <w:rPr>
      <w:color w:val="000000" w:themeColor="text1"/>
    </w:rPr>
    <w:tblPr>
      <w:tblStyleRowBandSize w:val="1"/>
      <w:tblStyleColBandSize w:val="1"/>
    </w:tblPr>
    <w:tcPr>
      <w:shd w:val="clear" w:color="auto" w:fill="FDF7E8" w:themeFill="accent4" w:themeFillTint="19"/>
    </w:tcPr>
    <w:tblStylePr w:type="firstRow">
      <w:rPr>
        <w:b/>
        <w:bCs/>
        <w:color w:val="FFFFFF" w:themeColor="background1"/>
      </w:rPr>
      <w:tblPr/>
      <w:tcPr>
        <w:tcBorders>
          <w:bottom w:val="single" w:sz="12" w:space="0" w:color="FFFFFF" w:themeColor="background1"/>
        </w:tcBorders>
        <w:shd w:val="clear" w:color="auto" w:fill="48525A" w:themeFill="accent3" w:themeFillShade="CC"/>
      </w:tcPr>
    </w:tblStylePr>
    <w:tblStylePr w:type="lastRow">
      <w:rPr>
        <w:b/>
        <w:bCs/>
        <w:color w:val="48525A"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CC6" w:themeFill="accent4" w:themeFillTint="3F"/>
      </w:tcPr>
    </w:tblStylePr>
    <w:tblStylePr w:type="band1Horz">
      <w:tblPr/>
      <w:tcPr>
        <w:shd w:val="clear" w:color="auto" w:fill="FCF0D1" w:themeFill="accent4" w:themeFillTint="33"/>
      </w:tcPr>
    </w:tblStylePr>
  </w:style>
  <w:style w:type="table" w:styleId="ColorfulList-Accent5">
    <w:name w:val="Colorful List Accent 5"/>
    <w:basedOn w:val="TableNormal"/>
    <w:unhideWhenUsed/>
    <w:rsid w:val="00DC0A72"/>
    <w:pPr>
      <w:spacing w:after="0" w:line="240" w:lineRule="auto"/>
    </w:pPr>
    <w:rPr>
      <w:color w:val="000000" w:themeColor="text1"/>
    </w:rPr>
    <w:tblPr>
      <w:tblStyleRowBandSize w:val="1"/>
      <w:tblStyleColBandSize w:val="1"/>
    </w:tblPr>
    <w:tcPr>
      <w:shd w:val="clear" w:color="auto" w:fill="E2FAFA" w:themeFill="accent5" w:themeFillTint="19"/>
    </w:tcPr>
    <w:tblStylePr w:type="firstRow">
      <w:rPr>
        <w:b/>
        <w:bCs/>
        <w:color w:val="FFFFFF" w:themeColor="background1"/>
      </w:rPr>
      <w:tblPr/>
      <w:tcPr>
        <w:tcBorders>
          <w:bottom w:val="single" w:sz="12" w:space="0" w:color="FFFFFF" w:themeColor="background1"/>
        </w:tcBorders>
        <w:shd w:val="clear" w:color="auto" w:fill="12845B" w:themeFill="accent6" w:themeFillShade="CC"/>
      </w:tcPr>
    </w:tblStylePr>
    <w:tblStylePr w:type="lastRow">
      <w:rPr>
        <w:b/>
        <w:bCs/>
        <w:color w:val="12845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7F2F3" w:themeFill="accent5" w:themeFillTint="3F"/>
      </w:tcPr>
    </w:tblStylePr>
    <w:tblStylePr w:type="band1Horz">
      <w:tblPr/>
      <w:tcPr>
        <w:shd w:val="clear" w:color="auto" w:fill="C4F5F5" w:themeFill="accent5" w:themeFillTint="33"/>
      </w:tcPr>
    </w:tblStylePr>
  </w:style>
  <w:style w:type="table" w:styleId="ColorfulList-Accent6">
    <w:name w:val="Colorful List Accent 6"/>
    <w:basedOn w:val="TableNormal"/>
    <w:unhideWhenUsed/>
    <w:rsid w:val="00DC0A72"/>
    <w:pPr>
      <w:spacing w:after="0" w:line="240" w:lineRule="auto"/>
    </w:pPr>
    <w:rPr>
      <w:color w:val="000000" w:themeColor="text1"/>
    </w:rPr>
    <w:tblPr>
      <w:tblStyleRowBandSize w:val="1"/>
      <w:tblStyleColBandSize w:val="1"/>
    </w:tblPr>
    <w:tcPr>
      <w:shd w:val="clear" w:color="auto" w:fill="E3FBF2" w:themeFill="accent6" w:themeFillTint="19"/>
    </w:tcPr>
    <w:tblStylePr w:type="firstRow">
      <w:rPr>
        <w:b/>
        <w:bCs/>
        <w:color w:val="FFFFFF" w:themeColor="background1"/>
      </w:rPr>
      <w:tblPr/>
      <w:tcPr>
        <w:tcBorders>
          <w:bottom w:val="single" w:sz="12" w:space="0" w:color="FFFFFF" w:themeColor="background1"/>
        </w:tcBorders>
        <w:shd w:val="clear" w:color="auto" w:fill="137576" w:themeFill="accent5" w:themeFillShade="CC"/>
      </w:tcPr>
    </w:tblStylePr>
    <w:tblStylePr w:type="lastRow">
      <w:rPr>
        <w:b/>
        <w:bCs/>
        <w:color w:val="137576"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5DF" w:themeFill="accent6" w:themeFillTint="3F"/>
      </w:tcPr>
    </w:tblStylePr>
    <w:tblStylePr w:type="band1Horz">
      <w:tblPr/>
      <w:tcPr>
        <w:shd w:val="clear" w:color="auto" w:fill="C6F7E5" w:themeFill="accent6" w:themeFillTint="33"/>
      </w:tcPr>
    </w:tblStylePr>
  </w:style>
  <w:style w:type="table" w:styleId="ColorfulShading">
    <w:name w:val="Colorful Shading"/>
    <w:basedOn w:val="TableNormal"/>
    <w:unhideWhenUsed/>
    <w:rsid w:val="00DC0A72"/>
    <w:pPr>
      <w:spacing w:after="0" w:line="240" w:lineRule="auto"/>
    </w:pPr>
    <w:rPr>
      <w:color w:val="000000" w:themeColor="text1"/>
    </w:rPr>
    <w:tblPr>
      <w:tblStyleRowBandSize w:val="1"/>
      <w:tblStyleColBandSize w:val="1"/>
      <w:tblBorders>
        <w:top w:val="single" w:sz="24" w:space="0" w:color="D02B2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D02B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nhideWhenUsed/>
    <w:rsid w:val="00DC0A72"/>
    <w:pPr>
      <w:spacing w:after="0" w:line="240" w:lineRule="auto"/>
    </w:pPr>
    <w:rPr>
      <w:color w:val="000000" w:themeColor="text1"/>
    </w:rPr>
    <w:tblPr>
      <w:tblStyleRowBandSize w:val="1"/>
      <w:tblStyleColBandSize w:val="1"/>
      <w:tblBorders>
        <w:top w:val="single" w:sz="24" w:space="0" w:color="D02B27" w:themeColor="accent2"/>
        <w:left w:val="single" w:sz="4" w:space="0" w:color="0B2949" w:themeColor="accent1"/>
        <w:bottom w:val="single" w:sz="4" w:space="0" w:color="0B2949" w:themeColor="accent1"/>
        <w:right w:val="single" w:sz="4" w:space="0" w:color="0B2949" w:themeColor="accent1"/>
        <w:insideH w:val="single" w:sz="4" w:space="0" w:color="FFFFFF" w:themeColor="background1"/>
        <w:insideV w:val="single" w:sz="4" w:space="0" w:color="FFFFFF" w:themeColor="background1"/>
      </w:tblBorders>
    </w:tblPr>
    <w:tcPr>
      <w:shd w:val="clear" w:color="auto" w:fill="DAE9F9" w:themeFill="accent1" w:themeFillTint="19"/>
    </w:tcPr>
    <w:tblStylePr w:type="firstRow">
      <w:rPr>
        <w:b/>
        <w:bCs/>
      </w:rPr>
      <w:tblPr/>
      <w:tcPr>
        <w:tcBorders>
          <w:top w:val="nil"/>
          <w:left w:val="nil"/>
          <w:bottom w:val="single" w:sz="24" w:space="0" w:color="D02B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6182B" w:themeFill="accent1" w:themeFillShade="99"/>
      </w:tcPr>
    </w:tblStylePr>
    <w:tblStylePr w:type="firstCol">
      <w:rPr>
        <w:color w:val="FFFFFF" w:themeColor="background1"/>
      </w:rPr>
      <w:tblPr/>
      <w:tcPr>
        <w:tcBorders>
          <w:top w:val="nil"/>
          <w:left w:val="nil"/>
          <w:bottom w:val="nil"/>
          <w:right w:val="nil"/>
          <w:insideH w:val="single" w:sz="4" w:space="0" w:color="06182B" w:themeColor="accent1" w:themeShade="99"/>
          <w:insideV w:val="nil"/>
        </w:tcBorders>
        <w:shd w:val="clear" w:color="auto" w:fill="06182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6182B" w:themeFill="accent1" w:themeFillShade="99"/>
      </w:tcPr>
    </w:tblStylePr>
    <w:tblStylePr w:type="band1Vert">
      <w:tblPr/>
      <w:tcPr>
        <w:shd w:val="clear" w:color="auto" w:fill="6AA7E8" w:themeFill="accent1" w:themeFillTint="66"/>
      </w:tcPr>
    </w:tblStylePr>
    <w:tblStylePr w:type="band1Horz">
      <w:tblPr/>
      <w:tcPr>
        <w:shd w:val="clear" w:color="auto" w:fill="4692E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nhideWhenUsed/>
    <w:rsid w:val="00DC0A72"/>
    <w:pPr>
      <w:spacing w:after="0" w:line="240" w:lineRule="auto"/>
    </w:pPr>
    <w:rPr>
      <w:color w:val="000000" w:themeColor="text1"/>
    </w:rPr>
    <w:tblPr>
      <w:tblStyleRowBandSize w:val="1"/>
      <w:tblStyleColBandSize w:val="1"/>
      <w:tblBorders>
        <w:top w:val="single" w:sz="24" w:space="0" w:color="D02B27" w:themeColor="accent2"/>
        <w:left w:val="single" w:sz="4" w:space="0" w:color="D02B27" w:themeColor="accent2"/>
        <w:bottom w:val="single" w:sz="4" w:space="0" w:color="D02B27" w:themeColor="accent2"/>
        <w:right w:val="single" w:sz="4" w:space="0" w:color="D02B27" w:themeColor="accent2"/>
        <w:insideH w:val="single" w:sz="4" w:space="0" w:color="FFFFFF" w:themeColor="background1"/>
        <w:insideV w:val="single" w:sz="4" w:space="0" w:color="FFFFFF" w:themeColor="background1"/>
      </w:tblBorders>
    </w:tblPr>
    <w:tcPr>
      <w:shd w:val="clear" w:color="auto" w:fill="FBE9E9" w:themeFill="accent2" w:themeFillTint="19"/>
    </w:tcPr>
    <w:tblStylePr w:type="firstRow">
      <w:rPr>
        <w:b/>
        <w:bCs/>
      </w:rPr>
      <w:tblPr/>
      <w:tcPr>
        <w:tcBorders>
          <w:top w:val="nil"/>
          <w:left w:val="nil"/>
          <w:bottom w:val="single" w:sz="24" w:space="0" w:color="D02B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C1917" w:themeFill="accent2" w:themeFillShade="99"/>
      </w:tcPr>
    </w:tblStylePr>
    <w:tblStylePr w:type="firstCol">
      <w:rPr>
        <w:color w:val="FFFFFF" w:themeColor="background1"/>
      </w:rPr>
      <w:tblPr/>
      <w:tcPr>
        <w:tcBorders>
          <w:top w:val="nil"/>
          <w:left w:val="nil"/>
          <w:bottom w:val="nil"/>
          <w:right w:val="nil"/>
          <w:insideH w:val="single" w:sz="4" w:space="0" w:color="7C1917" w:themeColor="accent2" w:themeShade="99"/>
          <w:insideV w:val="nil"/>
        </w:tcBorders>
        <w:shd w:val="clear" w:color="auto" w:fill="7C191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C1917" w:themeFill="accent2" w:themeFillShade="99"/>
      </w:tcPr>
    </w:tblStylePr>
    <w:tblStylePr w:type="band1Vert">
      <w:tblPr/>
      <w:tcPr>
        <w:shd w:val="clear" w:color="auto" w:fill="EEA7A6" w:themeFill="accent2" w:themeFillTint="66"/>
      </w:tcPr>
    </w:tblStylePr>
    <w:tblStylePr w:type="band1Horz">
      <w:tblPr/>
      <w:tcPr>
        <w:shd w:val="clear" w:color="auto" w:fill="EA929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nhideWhenUsed/>
    <w:rsid w:val="00DC0A72"/>
    <w:pPr>
      <w:spacing w:after="0" w:line="240" w:lineRule="auto"/>
    </w:pPr>
    <w:rPr>
      <w:color w:val="000000" w:themeColor="text1"/>
    </w:rPr>
    <w:tblPr>
      <w:tblStyleRowBandSize w:val="1"/>
      <w:tblStyleColBandSize w:val="1"/>
      <w:tblBorders>
        <w:top w:val="single" w:sz="24" w:space="0" w:color="F1B51C" w:themeColor="accent4"/>
        <w:left w:val="single" w:sz="4" w:space="0" w:color="5B6771" w:themeColor="accent3"/>
        <w:bottom w:val="single" w:sz="4" w:space="0" w:color="5B6771" w:themeColor="accent3"/>
        <w:right w:val="single" w:sz="4" w:space="0" w:color="5B6771" w:themeColor="accent3"/>
        <w:insideH w:val="single" w:sz="4" w:space="0" w:color="FFFFFF" w:themeColor="background1"/>
        <w:insideV w:val="single" w:sz="4" w:space="0" w:color="FFFFFF" w:themeColor="background1"/>
      </w:tblBorders>
    </w:tblPr>
    <w:tcPr>
      <w:shd w:val="clear" w:color="auto" w:fill="EEF0F1" w:themeFill="accent3" w:themeFillTint="19"/>
    </w:tcPr>
    <w:tblStylePr w:type="firstRow">
      <w:rPr>
        <w:b/>
        <w:bCs/>
      </w:rPr>
      <w:tblPr/>
      <w:tcPr>
        <w:tcBorders>
          <w:top w:val="nil"/>
          <w:left w:val="nil"/>
          <w:bottom w:val="single" w:sz="24" w:space="0" w:color="F1B51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63D43" w:themeFill="accent3" w:themeFillShade="99"/>
      </w:tcPr>
    </w:tblStylePr>
    <w:tblStylePr w:type="firstCol">
      <w:rPr>
        <w:color w:val="FFFFFF" w:themeColor="background1"/>
      </w:rPr>
      <w:tblPr/>
      <w:tcPr>
        <w:tcBorders>
          <w:top w:val="nil"/>
          <w:left w:val="nil"/>
          <w:bottom w:val="nil"/>
          <w:right w:val="nil"/>
          <w:insideH w:val="single" w:sz="4" w:space="0" w:color="363D43" w:themeColor="accent3" w:themeShade="99"/>
          <w:insideV w:val="nil"/>
        </w:tcBorders>
        <w:shd w:val="clear" w:color="auto" w:fill="363D4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63D43" w:themeFill="accent3" w:themeFillShade="99"/>
      </w:tcPr>
    </w:tblStylePr>
    <w:tblStylePr w:type="band1Vert">
      <w:tblPr/>
      <w:tcPr>
        <w:shd w:val="clear" w:color="auto" w:fill="BBC2C8" w:themeFill="accent3" w:themeFillTint="66"/>
      </w:tcPr>
    </w:tblStylePr>
    <w:tblStylePr w:type="band1Horz">
      <w:tblPr/>
      <w:tcPr>
        <w:shd w:val="clear" w:color="auto" w:fill="AAB3BB" w:themeFill="accent3" w:themeFillTint="7F"/>
      </w:tcPr>
    </w:tblStylePr>
  </w:style>
  <w:style w:type="table" w:styleId="ColorfulShading-Accent4">
    <w:name w:val="Colorful Shading Accent 4"/>
    <w:basedOn w:val="TableNormal"/>
    <w:unhideWhenUsed/>
    <w:rsid w:val="00DC0A72"/>
    <w:pPr>
      <w:spacing w:after="0" w:line="240" w:lineRule="auto"/>
    </w:pPr>
    <w:rPr>
      <w:color w:val="000000" w:themeColor="text1"/>
    </w:rPr>
    <w:tblPr>
      <w:tblStyleRowBandSize w:val="1"/>
      <w:tblStyleColBandSize w:val="1"/>
      <w:tblBorders>
        <w:top w:val="single" w:sz="24" w:space="0" w:color="5B6771" w:themeColor="accent3"/>
        <w:left w:val="single" w:sz="4" w:space="0" w:color="F1B51C" w:themeColor="accent4"/>
        <w:bottom w:val="single" w:sz="4" w:space="0" w:color="F1B51C" w:themeColor="accent4"/>
        <w:right w:val="single" w:sz="4" w:space="0" w:color="F1B51C" w:themeColor="accent4"/>
        <w:insideH w:val="single" w:sz="4" w:space="0" w:color="FFFFFF" w:themeColor="background1"/>
        <w:insideV w:val="single" w:sz="4" w:space="0" w:color="FFFFFF" w:themeColor="background1"/>
      </w:tblBorders>
    </w:tblPr>
    <w:tcPr>
      <w:shd w:val="clear" w:color="auto" w:fill="FDF7E8" w:themeFill="accent4" w:themeFillTint="19"/>
    </w:tcPr>
    <w:tblStylePr w:type="firstRow">
      <w:rPr>
        <w:b/>
        <w:bCs/>
      </w:rPr>
      <w:tblPr/>
      <w:tcPr>
        <w:tcBorders>
          <w:top w:val="nil"/>
          <w:left w:val="nil"/>
          <w:bottom w:val="single" w:sz="24" w:space="0" w:color="5B677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76F09" w:themeFill="accent4" w:themeFillShade="99"/>
      </w:tcPr>
    </w:tblStylePr>
    <w:tblStylePr w:type="firstCol">
      <w:rPr>
        <w:color w:val="FFFFFF" w:themeColor="background1"/>
      </w:rPr>
      <w:tblPr/>
      <w:tcPr>
        <w:tcBorders>
          <w:top w:val="nil"/>
          <w:left w:val="nil"/>
          <w:bottom w:val="nil"/>
          <w:right w:val="nil"/>
          <w:insideH w:val="single" w:sz="4" w:space="0" w:color="976F09" w:themeColor="accent4" w:themeShade="99"/>
          <w:insideV w:val="nil"/>
        </w:tcBorders>
        <w:shd w:val="clear" w:color="auto" w:fill="976F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76F09" w:themeFill="accent4" w:themeFillShade="99"/>
      </w:tcPr>
    </w:tblStylePr>
    <w:tblStylePr w:type="band1Vert">
      <w:tblPr/>
      <w:tcPr>
        <w:shd w:val="clear" w:color="auto" w:fill="F9E1A3" w:themeFill="accent4" w:themeFillTint="66"/>
      </w:tcPr>
    </w:tblStylePr>
    <w:tblStylePr w:type="band1Horz">
      <w:tblPr/>
      <w:tcPr>
        <w:shd w:val="clear" w:color="auto" w:fill="F8DA8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nhideWhenUsed/>
    <w:rsid w:val="00DC0A72"/>
    <w:pPr>
      <w:spacing w:after="0" w:line="240" w:lineRule="auto"/>
    </w:pPr>
    <w:rPr>
      <w:color w:val="000000" w:themeColor="text1"/>
    </w:rPr>
    <w:tblPr>
      <w:tblStyleRowBandSize w:val="1"/>
      <w:tblStyleColBandSize w:val="1"/>
      <w:tblBorders>
        <w:top w:val="single" w:sz="24" w:space="0" w:color="17A673" w:themeColor="accent6"/>
        <w:left w:val="single" w:sz="4" w:space="0" w:color="189394" w:themeColor="accent5"/>
        <w:bottom w:val="single" w:sz="4" w:space="0" w:color="189394" w:themeColor="accent5"/>
        <w:right w:val="single" w:sz="4" w:space="0" w:color="189394" w:themeColor="accent5"/>
        <w:insideH w:val="single" w:sz="4" w:space="0" w:color="FFFFFF" w:themeColor="background1"/>
        <w:insideV w:val="single" w:sz="4" w:space="0" w:color="FFFFFF" w:themeColor="background1"/>
      </w:tblBorders>
    </w:tblPr>
    <w:tcPr>
      <w:shd w:val="clear" w:color="auto" w:fill="E2FAFA" w:themeFill="accent5" w:themeFillTint="19"/>
    </w:tcPr>
    <w:tblStylePr w:type="firstRow">
      <w:rPr>
        <w:b/>
        <w:bCs/>
      </w:rPr>
      <w:tblPr/>
      <w:tcPr>
        <w:tcBorders>
          <w:top w:val="nil"/>
          <w:left w:val="nil"/>
          <w:bottom w:val="single" w:sz="24" w:space="0" w:color="17A673"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E5758" w:themeFill="accent5" w:themeFillShade="99"/>
      </w:tcPr>
    </w:tblStylePr>
    <w:tblStylePr w:type="firstCol">
      <w:rPr>
        <w:color w:val="FFFFFF" w:themeColor="background1"/>
      </w:rPr>
      <w:tblPr/>
      <w:tcPr>
        <w:tcBorders>
          <w:top w:val="nil"/>
          <w:left w:val="nil"/>
          <w:bottom w:val="nil"/>
          <w:right w:val="nil"/>
          <w:insideH w:val="single" w:sz="4" w:space="0" w:color="0E5758" w:themeColor="accent5" w:themeShade="99"/>
          <w:insideV w:val="nil"/>
        </w:tcBorders>
        <w:shd w:val="clear" w:color="auto" w:fill="0E575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E5758" w:themeFill="accent5" w:themeFillShade="99"/>
      </w:tcPr>
    </w:tblStylePr>
    <w:tblStylePr w:type="band1Vert">
      <w:tblPr/>
      <w:tcPr>
        <w:shd w:val="clear" w:color="auto" w:fill="8AEBEC" w:themeFill="accent5" w:themeFillTint="66"/>
      </w:tcPr>
    </w:tblStylePr>
    <w:tblStylePr w:type="band1Horz">
      <w:tblPr/>
      <w:tcPr>
        <w:shd w:val="clear" w:color="auto" w:fill="6DE6E7"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nhideWhenUsed/>
    <w:rsid w:val="00DC0A72"/>
    <w:pPr>
      <w:spacing w:after="0" w:line="240" w:lineRule="auto"/>
    </w:pPr>
    <w:rPr>
      <w:color w:val="000000" w:themeColor="text1"/>
    </w:rPr>
    <w:tblPr>
      <w:tblStyleRowBandSize w:val="1"/>
      <w:tblStyleColBandSize w:val="1"/>
      <w:tblBorders>
        <w:top w:val="single" w:sz="24" w:space="0" w:color="189394" w:themeColor="accent5"/>
        <w:left w:val="single" w:sz="4" w:space="0" w:color="17A673" w:themeColor="accent6"/>
        <w:bottom w:val="single" w:sz="4" w:space="0" w:color="17A673" w:themeColor="accent6"/>
        <w:right w:val="single" w:sz="4" w:space="0" w:color="17A673" w:themeColor="accent6"/>
        <w:insideH w:val="single" w:sz="4" w:space="0" w:color="FFFFFF" w:themeColor="background1"/>
        <w:insideV w:val="single" w:sz="4" w:space="0" w:color="FFFFFF" w:themeColor="background1"/>
      </w:tblBorders>
    </w:tblPr>
    <w:tcPr>
      <w:shd w:val="clear" w:color="auto" w:fill="E3FBF2" w:themeFill="accent6" w:themeFillTint="19"/>
    </w:tcPr>
    <w:tblStylePr w:type="firstRow">
      <w:rPr>
        <w:b/>
        <w:bCs/>
      </w:rPr>
      <w:tblPr/>
      <w:tcPr>
        <w:tcBorders>
          <w:top w:val="nil"/>
          <w:left w:val="nil"/>
          <w:bottom w:val="single" w:sz="24" w:space="0" w:color="18939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D6344" w:themeFill="accent6" w:themeFillShade="99"/>
      </w:tcPr>
    </w:tblStylePr>
    <w:tblStylePr w:type="firstCol">
      <w:rPr>
        <w:color w:val="FFFFFF" w:themeColor="background1"/>
      </w:rPr>
      <w:tblPr/>
      <w:tcPr>
        <w:tcBorders>
          <w:top w:val="nil"/>
          <w:left w:val="nil"/>
          <w:bottom w:val="nil"/>
          <w:right w:val="nil"/>
          <w:insideH w:val="single" w:sz="4" w:space="0" w:color="0D6344" w:themeColor="accent6" w:themeShade="99"/>
          <w:insideV w:val="nil"/>
        </w:tcBorders>
        <w:shd w:val="clear" w:color="auto" w:fill="0D6344"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D6344" w:themeFill="accent6" w:themeFillShade="99"/>
      </w:tcPr>
    </w:tblStylePr>
    <w:tblStylePr w:type="band1Vert">
      <w:tblPr/>
      <w:tcPr>
        <w:shd w:val="clear" w:color="auto" w:fill="8EEFCC" w:themeFill="accent6" w:themeFillTint="66"/>
      </w:tcPr>
    </w:tblStylePr>
    <w:tblStylePr w:type="band1Horz">
      <w:tblPr/>
      <w:tcPr>
        <w:shd w:val="clear" w:color="auto" w:fill="72EBC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nhideWhenUsed/>
    <w:rsid w:val="00DC0A72"/>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nhideWhenUsed/>
    <w:rsid w:val="00DC0A72"/>
    <w:pPr>
      <w:spacing w:after="0" w:line="240" w:lineRule="auto"/>
    </w:pPr>
    <w:rPr>
      <w:color w:val="FFFFFF" w:themeColor="background1"/>
    </w:rPr>
    <w:tblPr>
      <w:tblStyleRowBandSize w:val="1"/>
      <w:tblStyleColBandSize w:val="1"/>
    </w:tblPr>
    <w:tcPr>
      <w:shd w:val="clear" w:color="auto" w:fill="0B294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5142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81E3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81E36" w:themeFill="accent1" w:themeFillShade="BF"/>
      </w:tcPr>
    </w:tblStylePr>
    <w:tblStylePr w:type="band1Vert">
      <w:tblPr/>
      <w:tcPr>
        <w:tcBorders>
          <w:top w:val="nil"/>
          <w:left w:val="nil"/>
          <w:bottom w:val="nil"/>
          <w:right w:val="nil"/>
          <w:insideH w:val="nil"/>
          <w:insideV w:val="nil"/>
        </w:tcBorders>
        <w:shd w:val="clear" w:color="auto" w:fill="081E36" w:themeFill="accent1" w:themeFillShade="BF"/>
      </w:tcPr>
    </w:tblStylePr>
    <w:tblStylePr w:type="band1Horz">
      <w:tblPr/>
      <w:tcPr>
        <w:tcBorders>
          <w:top w:val="nil"/>
          <w:left w:val="nil"/>
          <w:bottom w:val="nil"/>
          <w:right w:val="nil"/>
          <w:insideH w:val="nil"/>
          <w:insideV w:val="nil"/>
        </w:tcBorders>
        <w:shd w:val="clear" w:color="auto" w:fill="081E36" w:themeFill="accent1" w:themeFillShade="BF"/>
      </w:tcPr>
    </w:tblStylePr>
  </w:style>
  <w:style w:type="table" w:styleId="DarkList-Accent2">
    <w:name w:val="Dark List Accent 2"/>
    <w:basedOn w:val="TableNormal"/>
    <w:unhideWhenUsed/>
    <w:rsid w:val="00DC0A72"/>
    <w:pPr>
      <w:spacing w:after="0" w:line="240" w:lineRule="auto"/>
    </w:pPr>
    <w:rPr>
      <w:color w:val="FFFFFF" w:themeColor="background1"/>
    </w:rPr>
    <w:tblPr>
      <w:tblStyleRowBandSize w:val="1"/>
      <w:tblStyleColBandSize w:val="1"/>
    </w:tblPr>
    <w:tcPr>
      <w:shd w:val="clear" w:color="auto" w:fill="D02B2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7151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B201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B201D" w:themeFill="accent2" w:themeFillShade="BF"/>
      </w:tcPr>
    </w:tblStylePr>
    <w:tblStylePr w:type="band1Vert">
      <w:tblPr/>
      <w:tcPr>
        <w:tcBorders>
          <w:top w:val="nil"/>
          <w:left w:val="nil"/>
          <w:bottom w:val="nil"/>
          <w:right w:val="nil"/>
          <w:insideH w:val="nil"/>
          <w:insideV w:val="nil"/>
        </w:tcBorders>
        <w:shd w:val="clear" w:color="auto" w:fill="9B201D" w:themeFill="accent2" w:themeFillShade="BF"/>
      </w:tcPr>
    </w:tblStylePr>
    <w:tblStylePr w:type="band1Horz">
      <w:tblPr/>
      <w:tcPr>
        <w:tcBorders>
          <w:top w:val="nil"/>
          <w:left w:val="nil"/>
          <w:bottom w:val="nil"/>
          <w:right w:val="nil"/>
          <w:insideH w:val="nil"/>
          <w:insideV w:val="nil"/>
        </w:tcBorders>
        <w:shd w:val="clear" w:color="auto" w:fill="9B201D" w:themeFill="accent2" w:themeFillShade="BF"/>
      </w:tcPr>
    </w:tblStylePr>
  </w:style>
  <w:style w:type="table" w:styleId="DarkList-Accent3">
    <w:name w:val="Dark List Accent 3"/>
    <w:basedOn w:val="TableNormal"/>
    <w:unhideWhenUsed/>
    <w:rsid w:val="00DC0A72"/>
    <w:pPr>
      <w:spacing w:after="0" w:line="240" w:lineRule="auto"/>
    </w:pPr>
    <w:rPr>
      <w:color w:val="FFFFFF" w:themeColor="background1"/>
    </w:rPr>
    <w:tblPr>
      <w:tblStyleRowBandSize w:val="1"/>
      <w:tblStyleColBandSize w:val="1"/>
    </w:tblPr>
    <w:tcPr>
      <w:shd w:val="clear" w:color="auto" w:fill="5B677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333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44D5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44D54" w:themeFill="accent3" w:themeFillShade="BF"/>
      </w:tcPr>
    </w:tblStylePr>
    <w:tblStylePr w:type="band1Vert">
      <w:tblPr/>
      <w:tcPr>
        <w:tcBorders>
          <w:top w:val="nil"/>
          <w:left w:val="nil"/>
          <w:bottom w:val="nil"/>
          <w:right w:val="nil"/>
          <w:insideH w:val="nil"/>
          <w:insideV w:val="nil"/>
        </w:tcBorders>
        <w:shd w:val="clear" w:color="auto" w:fill="444D54" w:themeFill="accent3" w:themeFillShade="BF"/>
      </w:tcPr>
    </w:tblStylePr>
    <w:tblStylePr w:type="band1Horz">
      <w:tblPr/>
      <w:tcPr>
        <w:tcBorders>
          <w:top w:val="nil"/>
          <w:left w:val="nil"/>
          <w:bottom w:val="nil"/>
          <w:right w:val="nil"/>
          <w:insideH w:val="nil"/>
          <w:insideV w:val="nil"/>
        </w:tcBorders>
        <w:shd w:val="clear" w:color="auto" w:fill="444D54" w:themeFill="accent3" w:themeFillShade="BF"/>
      </w:tcPr>
    </w:tblStylePr>
  </w:style>
  <w:style w:type="table" w:styleId="DarkList-Accent4">
    <w:name w:val="Dark List Accent 4"/>
    <w:basedOn w:val="TableNormal"/>
    <w:unhideWhenUsed/>
    <w:rsid w:val="00DC0A72"/>
    <w:pPr>
      <w:spacing w:after="0" w:line="240" w:lineRule="auto"/>
    </w:pPr>
    <w:rPr>
      <w:color w:val="FFFFFF" w:themeColor="background1"/>
    </w:rPr>
    <w:tblPr>
      <w:tblStyleRowBandSize w:val="1"/>
      <w:tblStyleColBandSize w:val="1"/>
    </w:tblPr>
    <w:tcPr>
      <w:shd w:val="clear" w:color="auto" w:fill="F1B51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D5C0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D8B0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D8B0B" w:themeFill="accent4" w:themeFillShade="BF"/>
      </w:tcPr>
    </w:tblStylePr>
    <w:tblStylePr w:type="band1Vert">
      <w:tblPr/>
      <w:tcPr>
        <w:tcBorders>
          <w:top w:val="nil"/>
          <w:left w:val="nil"/>
          <w:bottom w:val="nil"/>
          <w:right w:val="nil"/>
          <w:insideH w:val="nil"/>
          <w:insideV w:val="nil"/>
        </w:tcBorders>
        <w:shd w:val="clear" w:color="auto" w:fill="BD8B0B" w:themeFill="accent4" w:themeFillShade="BF"/>
      </w:tcPr>
    </w:tblStylePr>
    <w:tblStylePr w:type="band1Horz">
      <w:tblPr/>
      <w:tcPr>
        <w:tcBorders>
          <w:top w:val="nil"/>
          <w:left w:val="nil"/>
          <w:bottom w:val="nil"/>
          <w:right w:val="nil"/>
          <w:insideH w:val="nil"/>
          <w:insideV w:val="nil"/>
        </w:tcBorders>
        <w:shd w:val="clear" w:color="auto" w:fill="BD8B0B" w:themeFill="accent4" w:themeFillShade="BF"/>
      </w:tcPr>
    </w:tblStylePr>
  </w:style>
  <w:style w:type="table" w:styleId="DarkList-Accent5">
    <w:name w:val="Dark List Accent 5"/>
    <w:basedOn w:val="TableNormal"/>
    <w:unhideWhenUsed/>
    <w:rsid w:val="00DC0A72"/>
    <w:pPr>
      <w:spacing w:after="0" w:line="240" w:lineRule="auto"/>
    </w:pPr>
    <w:rPr>
      <w:color w:val="FFFFFF" w:themeColor="background1"/>
    </w:rPr>
    <w:tblPr>
      <w:tblStyleRowBandSize w:val="1"/>
      <w:tblStyleColBandSize w:val="1"/>
    </w:tblPr>
    <w:tcPr>
      <w:shd w:val="clear" w:color="auto" w:fill="18939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484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126D6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126D6E" w:themeFill="accent5" w:themeFillShade="BF"/>
      </w:tcPr>
    </w:tblStylePr>
    <w:tblStylePr w:type="band1Vert">
      <w:tblPr/>
      <w:tcPr>
        <w:tcBorders>
          <w:top w:val="nil"/>
          <w:left w:val="nil"/>
          <w:bottom w:val="nil"/>
          <w:right w:val="nil"/>
          <w:insideH w:val="nil"/>
          <w:insideV w:val="nil"/>
        </w:tcBorders>
        <w:shd w:val="clear" w:color="auto" w:fill="126D6E" w:themeFill="accent5" w:themeFillShade="BF"/>
      </w:tcPr>
    </w:tblStylePr>
    <w:tblStylePr w:type="band1Horz">
      <w:tblPr/>
      <w:tcPr>
        <w:tcBorders>
          <w:top w:val="nil"/>
          <w:left w:val="nil"/>
          <w:bottom w:val="nil"/>
          <w:right w:val="nil"/>
          <w:insideH w:val="nil"/>
          <w:insideV w:val="nil"/>
        </w:tcBorders>
        <w:shd w:val="clear" w:color="auto" w:fill="126D6E" w:themeFill="accent5" w:themeFillShade="BF"/>
      </w:tcPr>
    </w:tblStylePr>
  </w:style>
  <w:style w:type="table" w:styleId="DarkList-Accent6">
    <w:name w:val="Dark List Accent 6"/>
    <w:basedOn w:val="TableNormal"/>
    <w:unhideWhenUsed/>
    <w:rsid w:val="00DC0A72"/>
    <w:pPr>
      <w:spacing w:after="0" w:line="240" w:lineRule="auto"/>
    </w:pPr>
    <w:rPr>
      <w:color w:val="FFFFFF" w:themeColor="background1"/>
    </w:rPr>
    <w:tblPr>
      <w:tblStyleRowBandSize w:val="1"/>
      <w:tblStyleColBandSize w:val="1"/>
    </w:tblPr>
    <w:tcPr>
      <w:shd w:val="clear" w:color="auto" w:fill="17A673"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B5239"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117C5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117C55" w:themeFill="accent6" w:themeFillShade="BF"/>
      </w:tcPr>
    </w:tblStylePr>
    <w:tblStylePr w:type="band1Vert">
      <w:tblPr/>
      <w:tcPr>
        <w:tcBorders>
          <w:top w:val="nil"/>
          <w:left w:val="nil"/>
          <w:bottom w:val="nil"/>
          <w:right w:val="nil"/>
          <w:insideH w:val="nil"/>
          <w:insideV w:val="nil"/>
        </w:tcBorders>
        <w:shd w:val="clear" w:color="auto" w:fill="117C55" w:themeFill="accent6" w:themeFillShade="BF"/>
      </w:tcPr>
    </w:tblStylePr>
    <w:tblStylePr w:type="band1Horz">
      <w:tblPr/>
      <w:tcPr>
        <w:tcBorders>
          <w:top w:val="nil"/>
          <w:left w:val="nil"/>
          <w:bottom w:val="nil"/>
          <w:right w:val="nil"/>
          <w:insideH w:val="nil"/>
          <w:insideV w:val="nil"/>
        </w:tcBorders>
        <w:shd w:val="clear" w:color="auto" w:fill="117C55" w:themeFill="accent6" w:themeFillShade="BF"/>
      </w:tcPr>
    </w:tblStylePr>
  </w:style>
  <w:style w:type="paragraph" w:styleId="E-mailSignature">
    <w:name w:val="E-mail Signature"/>
    <w:basedOn w:val="Normal"/>
    <w:link w:val="E-mailSignatureChar"/>
    <w:semiHidden/>
    <w:rsid w:val="00DC0A72"/>
    <w:pPr>
      <w:spacing w:after="0" w:line="240" w:lineRule="auto"/>
    </w:pPr>
  </w:style>
  <w:style w:type="character" w:customStyle="1" w:styleId="E-mailSignatureChar">
    <w:name w:val="E-mail Signature Char"/>
    <w:basedOn w:val="DefaultParagraphFont"/>
    <w:link w:val="E-mailSignature"/>
    <w:semiHidden/>
    <w:rsid w:val="00DC0A72"/>
    <w:rPr>
      <w:sz w:val="20"/>
    </w:rPr>
  </w:style>
  <w:style w:type="paragraph" w:styleId="EnvelopeAddress">
    <w:name w:val="envelope address"/>
    <w:basedOn w:val="Normal"/>
    <w:semiHidden/>
    <w:rsid w:val="00DC0A72"/>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rsid w:val="00DC0A72"/>
    <w:pPr>
      <w:spacing w:after="0" w:line="240" w:lineRule="auto"/>
    </w:pPr>
    <w:rPr>
      <w:rFonts w:asciiTheme="majorHAnsi" w:eastAsiaTheme="majorEastAsia" w:hAnsiTheme="majorHAnsi" w:cstheme="majorBidi"/>
      <w:szCs w:val="20"/>
    </w:rPr>
  </w:style>
  <w:style w:type="character" w:styleId="FollowedHyperlink">
    <w:name w:val="FollowedHyperlink"/>
    <w:basedOn w:val="DefaultParagraphFont"/>
    <w:semiHidden/>
    <w:rsid w:val="00DC0A72"/>
    <w:rPr>
      <w:color w:val="0563C1" w:themeColor="followedHyperlink"/>
      <w:u w:val="single"/>
    </w:rPr>
  </w:style>
  <w:style w:type="table" w:styleId="GridTable1Light">
    <w:name w:val="Grid Table 1 Light"/>
    <w:basedOn w:val="TableNormal"/>
    <w:rsid w:val="00DC0A7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rsid w:val="00DC0A72"/>
    <w:pPr>
      <w:spacing w:after="0" w:line="240" w:lineRule="auto"/>
    </w:pPr>
    <w:tblPr>
      <w:tblStyleRowBandSize w:val="1"/>
      <w:tblStyleColBandSize w:val="1"/>
      <w:tblBorders>
        <w:top w:val="single" w:sz="4" w:space="0" w:color="6AA7E8" w:themeColor="accent1" w:themeTint="66"/>
        <w:left w:val="single" w:sz="4" w:space="0" w:color="6AA7E8" w:themeColor="accent1" w:themeTint="66"/>
        <w:bottom w:val="single" w:sz="4" w:space="0" w:color="6AA7E8" w:themeColor="accent1" w:themeTint="66"/>
        <w:right w:val="single" w:sz="4" w:space="0" w:color="6AA7E8" w:themeColor="accent1" w:themeTint="66"/>
        <w:insideH w:val="single" w:sz="4" w:space="0" w:color="6AA7E8" w:themeColor="accent1" w:themeTint="66"/>
        <w:insideV w:val="single" w:sz="4" w:space="0" w:color="6AA7E8" w:themeColor="accent1" w:themeTint="66"/>
      </w:tblBorders>
    </w:tblPr>
    <w:tblStylePr w:type="firstRow">
      <w:rPr>
        <w:b/>
        <w:bCs/>
      </w:rPr>
      <w:tblPr/>
      <w:tcPr>
        <w:tcBorders>
          <w:bottom w:val="single" w:sz="12" w:space="0" w:color="217BDD" w:themeColor="accent1" w:themeTint="99"/>
        </w:tcBorders>
      </w:tcPr>
    </w:tblStylePr>
    <w:tblStylePr w:type="lastRow">
      <w:rPr>
        <w:b/>
        <w:bCs/>
      </w:rPr>
      <w:tblPr/>
      <w:tcPr>
        <w:tcBorders>
          <w:top w:val="double" w:sz="2" w:space="0" w:color="217BDD"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rsid w:val="00DC0A72"/>
    <w:pPr>
      <w:spacing w:after="0" w:line="240" w:lineRule="auto"/>
    </w:pPr>
    <w:tblPr>
      <w:tblStyleRowBandSize w:val="1"/>
      <w:tblStyleColBandSize w:val="1"/>
      <w:tblBorders>
        <w:top w:val="single" w:sz="4" w:space="0" w:color="EEA7A6" w:themeColor="accent2" w:themeTint="66"/>
        <w:left w:val="single" w:sz="4" w:space="0" w:color="EEA7A6" w:themeColor="accent2" w:themeTint="66"/>
        <w:bottom w:val="single" w:sz="4" w:space="0" w:color="EEA7A6" w:themeColor="accent2" w:themeTint="66"/>
        <w:right w:val="single" w:sz="4" w:space="0" w:color="EEA7A6" w:themeColor="accent2" w:themeTint="66"/>
        <w:insideH w:val="single" w:sz="4" w:space="0" w:color="EEA7A6" w:themeColor="accent2" w:themeTint="66"/>
        <w:insideV w:val="single" w:sz="4" w:space="0" w:color="EEA7A6" w:themeColor="accent2" w:themeTint="66"/>
      </w:tblBorders>
    </w:tblPr>
    <w:tblStylePr w:type="firstRow">
      <w:rPr>
        <w:b/>
        <w:bCs/>
      </w:rPr>
      <w:tblPr/>
      <w:tcPr>
        <w:tcBorders>
          <w:bottom w:val="single" w:sz="12" w:space="0" w:color="E67C79" w:themeColor="accent2" w:themeTint="99"/>
        </w:tcBorders>
      </w:tcPr>
    </w:tblStylePr>
    <w:tblStylePr w:type="lastRow">
      <w:rPr>
        <w:b/>
        <w:bCs/>
      </w:rPr>
      <w:tblPr/>
      <w:tcPr>
        <w:tcBorders>
          <w:top w:val="double" w:sz="2" w:space="0" w:color="E67C79"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rsid w:val="00DC0A72"/>
    <w:pPr>
      <w:spacing w:after="0" w:line="240" w:lineRule="auto"/>
    </w:pPr>
    <w:tblPr>
      <w:tblStyleRowBandSize w:val="1"/>
      <w:tblStyleColBandSize w:val="1"/>
      <w:tblBorders>
        <w:top w:val="single" w:sz="4" w:space="0" w:color="BBC2C8" w:themeColor="accent3" w:themeTint="66"/>
        <w:left w:val="single" w:sz="4" w:space="0" w:color="BBC2C8" w:themeColor="accent3" w:themeTint="66"/>
        <w:bottom w:val="single" w:sz="4" w:space="0" w:color="BBC2C8" w:themeColor="accent3" w:themeTint="66"/>
        <w:right w:val="single" w:sz="4" w:space="0" w:color="BBC2C8" w:themeColor="accent3" w:themeTint="66"/>
        <w:insideH w:val="single" w:sz="4" w:space="0" w:color="BBC2C8" w:themeColor="accent3" w:themeTint="66"/>
        <w:insideV w:val="single" w:sz="4" w:space="0" w:color="BBC2C8" w:themeColor="accent3" w:themeTint="66"/>
      </w:tblBorders>
    </w:tblPr>
    <w:tblStylePr w:type="firstRow">
      <w:rPr>
        <w:b/>
        <w:bCs/>
      </w:rPr>
      <w:tblPr/>
      <w:tcPr>
        <w:tcBorders>
          <w:bottom w:val="single" w:sz="12" w:space="0" w:color="99A4AD" w:themeColor="accent3" w:themeTint="99"/>
        </w:tcBorders>
      </w:tcPr>
    </w:tblStylePr>
    <w:tblStylePr w:type="lastRow">
      <w:rPr>
        <w:b/>
        <w:bCs/>
      </w:rPr>
      <w:tblPr/>
      <w:tcPr>
        <w:tcBorders>
          <w:top w:val="double" w:sz="2" w:space="0" w:color="99A4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rsid w:val="00DC0A72"/>
    <w:pPr>
      <w:spacing w:after="0" w:line="240" w:lineRule="auto"/>
    </w:pPr>
    <w:tblPr>
      <w:tblStyleRowBandSize w:val="1"/>
      <w:tblStyleColBandSize w:val="1"/>
      <w:tblBorders>
        <w:top w:val="single" w:sz="4" w:space="0" w:color="F9E1A3" w:themeColor="accent4" w:themeTint="66"/>
        <w:left w:val="single" w:sz="4" w:space="0" w:color="F9E1A3" w:themeColor="accent4" w:themeTint="66"/>
        <w:bottom w:val="single" w:sz="4" w:space="0" w:color="F9E1A3" w:themeColor="accent4" w:themeTint="66"/>
        <w:right w:val="single" w:sz="4" w:space="0" w:color="F9E1A3" w:themeColor="accent4" w:themeTint="66"/>
        <w:insideH w:val="single" w:sz="4" w:space="0" w:color="F9E1A3" w:themeColor="accent4" w:themeTint="66"/>
        <w:insideV w:val="single" w:sz="4" w:space="0" w:color="F9E1A3" w:themeColor="accent4" w:themeTint="66"/>
      </w:tblBorders>
    </w:tblPr>
    <w:tblStylePr w:type="firstRow">
      <w:rPr>
        <w:b/>
        <w:bCs/>
      </w:rPr>
      <w:tblPr/>
      <w:tcPr>
        <w:tcBorders>
          <w:bottom w:val="single" w:sz="12" w:space="0" w:color="F6D276" w:themeColor="accent4" w:themeTint="99"/>
        </w:tcBorders>
      </w:tcPr>
    </w:tblStylePr>
    <w:tblStylePr w:type="lastRow">
      <w:rPr>
        <w:b/>
        <w:bCs/>
      </w:rPr>
      <w:tblPr/>
      <w:tcPr>
        <w:tcBorders>
          <w:top w:val="double" w:sz="2" w:space="0" w:color="F6D27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rsid w:val="00DC0A72"/>
    <w:pPr>
      <w:spacing w:after="0" w:line="240" w:lineRule="auto"/>
    </w:pPr>
    <w:tblPr>
      <w:tblStyleRowBandSize w:val="1"/>
      <w:tblStyleColBandSize w:val="1"/>
      <w:tblBorders>
        <w:top w:val="single" w:sz="4" w:space="0" w:color="8AEBEC" w:themeColor="accent5" w:themeTint="66"/>
        <w:left w:val="single" w:sz="4" w:space="0" w:color="8AEBEC" w:themeColor="accent5" w:themeTint="66"/>
        <w:bottom w:val="single" w:sz="4" w:space="0" w:color="8AEBEC" w:themeColor="accent5" w:themeTint="66"/>
        <w:right w:val="single" w:sz="4" w:space="0" w:color="8AEBEC" w:themeColor="accent5" w:themeTint="66"/>
        <w:insideH w:val="single" w:sz="4" w:space="0" w:color="8AEBEC" w:themeColor="accent5" w:themeTint="66"/>
        <w:insideV w:val="single" w:sz="4" w:space="0" w:color="8AEBEC" w:themeColor="accent5" w:themeTint="66"/>
      </w:tblBorders>
    </w:tblPr>
    <w:tblStylePr w:type="firstRow">
      <w:rPr>
        <w:b/>
        <w:bCs/>
      </w:rPr>
      <w:tblPr/>
      <w:tcPr>
        <w:tcBorders>
          <w:bottom w:val="single" w:sz="12" w:space="0" w:color="50E1E2" w:themeColor="accent5" w:themeTint="99"/>
        </w:tcBorders>
      </w:tcPr>
    </w:tblStylePr>
    <w:tblStylePr w:type="lastRow">
      <w:rPr>
        <w:b/>
        <w:bCs/>
      </w:rPr>
      <w:tblPr/>
      <w:tcPr>
        <w:tcBorders>
          <w:top w:val="double" w:sz="2" w:space="0" w:color="50E1E2"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rsid w:val="00DC0A72"/>
    <w:pPr>
      <w:spacing w:after="0" w:line="240" w:lineRule="auto"/>
    </w:pPr>
    <w:tblPr>
      <w:tblStyleRowBandSize w:val="1"/>
      <w:tblStyleColBandSize w:val="1"/>
      <w:tblBorders>
        <w:top w:val="single" w:sz="4" w:space="0" w:color="8EEFCC" w:themeColor="accent6" w:themeTint="66"/>
        <w:left w:val="single" w:sz="4" w:space="0" w:color="8EEFCC" w:themeColor="accent6" w:themeTint="66"/>
        <w:bottom w:val="single" w:sz="4" w:space="0" w:color="8EEFCC" w:themeColor="accent6" w:themeTint="66"/>
        <w:right w:val="single" w:sz="4" w:space="0" w:color="8EEFCC" w:themeColor="accent6" w:themeTint="66"/>
        <w:insideH w:val="single" w:sz="4" w:space="0" w:color="8EEFCC" w:themeColor="accent6" w:themeTint="66"/>
        <w:insideV w:val="single" w:sz="4" w:space="0" w:color="8EEFCC" w:themeColor="accent6" w:themeTint="66"/>
      </w:tblBorders>
    </w:tblPr>
    <w:tblStylePr w:type="firstRow">
      <w:rPr>
        <w:b/>
        <w:bCs/>
      </w:rPr>
      <w:tblPr/>
      <w:tcPr>
        <w:tcBorders>
          <w:bottom w:val="single" w:sz="12" w:space="0" w:color="55E7B3" w:themeColor="accent6" w:themeTint="99"/>
        </w:tcBorders>
      </w:tcPr>
    </w:tblStylePr>
    <w:tblStylePr w:type="lastRow">
      <w:rPr>
        <w:b/>
        <w:bCs/>
      </w:rPr>
      <w:tblPr/>
      <w:tcPr>
        <w:tcBorders>
          <w:top w:val="double" w:sz="2" w:space="0" w:color="55E7B3" w:themeColor="accent6" w:themeTint="99"/>
        </w:tcBorders>
      </w:tcPr>
    </w:tblStylePr>
    <w:tblStylePr w:type="firstCol">
      <w:rPr>
        <w:b/>
        <w:bCs/>
      </w:rPr>
    </w:tblStylePr>
    <w:tblStylePr w:type="lastCol">
      <w:rPr>
        <w:b/>
        <w:bCs/>
      </w:rPr>
    </w:tblStylePr>
  </w:style>
  <w:style w:type="table" w:styleId="GridTable2">
    <w:name w:val="Grid Table 2"/>
    <w:basedOn w:val="TableNormal"/>
    <w:rsid w:val="00DC0A72"/>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2">
    <w:name w:val="Grid Table 2 Accent 2"/>
    <w:basedOn w:val="TableNormal"/>
    <w:rsid w:val="00DC0A72"/>
    <w:pPr>
      <w:spacing w:after="0" w:line="240" w:lineRule="auto"/>
    </w:pPr>
    <w:tblPr>
      <w:tblStyleRowBandSize w:val="1"/>
      <w:tblStyleColBandSize w:val="1"/>
      <w:tblBorders>
        <w:top w:val="single" w:sz="2" w:space="0" w:color="E67C79" w:themeColor="accent2" w:themeTint="99"/>
        <w:bottom w:val="single" w:sz="2" w:space="0" w:color="E67C79" w:themeColor="accent2" w:themeTint="99"/>
        <w:insideH w:val="single" w:sz="2" w:space="0" w:color="E67C79" w:themeColor="accent2" w:themeTint="99"/>
        <w:insideV w:val="single" w:sz="2" w:space="0" w:color="E67C79" w:themeColor="accent2" w:themeTint="99"/>
      </w:tblBorders>
    </w:tblPr>
    <w:tblStylePr w:type="firstRow">
      <w:rPr>
        <w:b/>
        <w:bCs/>
      </w:rPr>
      <w:tblPr/>
      <w:tcPr>
        <w:tcBorders>
          <w:top w:val="nil"/>
          <w:bottom w:val="single" w:sz="12" w:space="0" w:color="E67C79" w:themeColor="accent2" w:themeTint="99"/>
          <w:insideH w:val="nil"/>
          <w:insideV w:val="nil"/>
        </w:tcBorders>
        <w:shd w:val="clear" w:color="auto" w:fill="FFFFFF" w:themeFill="background1"/>
      </w:tcPr>
    </w:tblStylePr>
    <w:tblStylePr w:type="lastRow">
      <w:rPr>
        <w:b/>
        <w:bCs/>
      </w:rPr>
      <w:tblPr/>
      <w:tcPr>
        <w:tcBorders>
          <w:top w:val="double" w:sz="2" w:space="0" w:color="E67C7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GridTable2-Accent3">
    <w:name w:val="Grid Table 2 Accent 3"/>
    <w:basedOn w:val="TableNormal"/>
    <w:rsid w:val="00DC0A72"/>
    <w:pPr>
      <w:spacing w:after="0" w:line="240" w:lineRule="auto"/>
    </w:pPr>
    <w:tblPr>
      <w:tblStyleRowBandSize w:val="1"/>
      <w:tblStyleColBandSize w:val="1"/>
      <w:tblBorders>
        <w:top w:val="single" w:sz="2" w:space="0" w:color="99A4AD" w:themeColor="accent3" w:themeTint="99"/>
        <w:bottom w:val="single" w:sz="2" w:space="0" w:color="99A4AD" w:themeColor="accent3" w:themeTint="99"/>
        <w:insideH w:val="single" w:sz="2" w:space="0" w:color="99A4AD" w:themeColor="accent3" w:themeTint="99"/>
        <w:insideV w:val="single" w:sz="2" w:space="0" w:color="99A4AD" w:themeColor="accent3" w:themeTint="99"/>
      </w:tblBorders>
    </w:tblPr>
    <w:tblStylePr w:type="firstRow">
      <w:rPr>
        <w:b/>
        <w:bCs/>
      </w:rPr>
      <w:tblPr/>
      <w:tcPr>
        <w:tcBorders>
          <w:top w:val="nil"/>
          <w:bottom w:val="single" w:sz="12" w:space="0" w:color="99A4AD" w:themeColor="accent3" w:themeTint="99"/>
          <w:insideH w:val="nil"/>
          <w:insideV w:val="nil"/>
        </w:tcBorders>
        <w:shd w:val="clear" w:color="auto" w:fill="FFFFFF" w:themeFill="background1"/>
      </w:tcPr>
    </w:tblStylePr>
    <w:tblStylePr w:type="lastRow">
      <w:rPr>
        <w:b/>
        <w:bCs/>
      </w:rPr>
      <w:tblPr/>
      <w:tcPr>
        <w:tcBorders>
          <w:top w:val="double" w:sz="2" w:space="0" w:color="99A4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GridTable2-Accent4">
    <w:name w:val="Grid Table 2 Accent 4"/>
    <w:basedOn w:val="TableNormal"/>
    <w:rsid w:val="00DC0A72"/>
    <w:pPr>
      <w:spacing w:after="0" w:line="240" w:lineRule="auto"/>
    </w:pPr>
    <w:tblPr>
      <w:tblStyleRowBandSize w:val="1"/>
      <w:tblStyleColBandSize w:val="1"/>
      <w:tblBorders>
        <w:top w:val="single" w:sz="2" w:space="0" w:color="F6D276" w:themeColor="accent4" w:themeTint="99"/>
        <w:bottom w:val="single" w:sz="2" w:space="0" w:color="F6D276" w:themeColor="accent4" w:themeTint="99"/>
        <w:insideH w:val="single" w:sz="2" w:space="0" w:color="F6D276" w:themeColor="accent4" w:themeTint="99"/>
        <w:insideV w:val="single" w:sz="2" w:space="0" w:color="F6D276" w:themeColor="accent4" w:themeTint="99"/>
      </w:tblBorders>
    </w:tblPr>
    <w:tblStylePr w:type="firstRow">
      <w:rPr>
        <w:b/>
        <w:bCs/>
      </w:rPr>
      <w:tblPr/>
      <w:tcPr>
        <w:tcBorders>
          <w:top w:val="nil"/>
          <w:bottom w:val="single" w:sz="12" w:space="0" w:color="F6D276" w:themeColor="accent4" w:themeTint="99"/>
          <w:insideH w:val="nil"/>
          <w:insideV w:val="nil"/>
        </w:tcBorders>
        <w:shd w:val="clear" w:color="auto" w:fill="FFFFFF" w:themeFill="background1"/>
      </w:tcPr>
    </w:tblStylePr>
    <w:tblStylePr w:type="lastRow">
      <w:rPr>
        <w:b/>
        <w:bCs/>
      </w:rPr>
      <w:tblPr/>
      <w:tcPr>
        <w:tcBorders>
          <w:top w:val="double" w:sz="2" w:space="0" w:color="F6D27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GridTable2-Accent5">
    <w:name w:val="Grid Table 2 Accent 5"/>
    <w:basedOn w:val="TableNormal"/>
    <w:rsid w:val="00DC0A72"/>
    <w:pPr>
      <w:spacing w:after="0" w:line="240" w:lineRule="auto"/>
    </w:pPr>
    <w:tblPr>
      <w:tblStyleRowBandSize w:val="1"/>
      <w:tblStyleColBandSize w:val="1"/>
      <w:tblBorders>
        <w:top w:val="single" w:sz="2" w:space="0" w:color="50E1E2" w:themeColor="accent5" w:themeTint="99"/>
        <w:bottom w:val="single" w:sz="2" w:space="0" w:color="50E1E2" w:themeColor="accent5" w:themeTint="99"/>
        <w:insideH w:val="single" w:sz="2" w:space="0" w:color="50E1E2" w:themeColor="accent5" w:themeTint="99"/>
        <w:insideV w:val="single" w:sz="2" w:space="0" w:color="50E1E2" w:themeColor="accent5" w:themeTint="99"/>
      </w:tblBorders>
    </w:tblPr>
    <w:tblStylePr w:type="firstRow">
      <w:rPr>
        <w:b/>
        <w:bCs/>
      </w:rPr>
      <w:tblPr/>
      <w:tcPr>
        <w:tcBorders>
          <w:top w:val="nil"/>
          <w:bottom w:val="single" w:sz="12" w:space="0" w:color="50E1E2" w:themeColor="accent5" w:themeTint="99"/>
          <w:insideH w:val="nil"/>
          <w:insideV w:val="nil"/>
        </w:tcBorders>
        <w:shd w:val="clear" w:color="auto" w:fill="FFFFFF" w:themeFill="background1"/>
      </w:tcPr>
    </w:tblStylePr>
    <w:tblStylePr w:type="lastRow">
      <w:rPr>
        <w:b/>
        <w:bCs/>
      </w:rPr>
      <w:tblPr/>
      <w:tcPr>
        <w:tcBorders>
          <w:top w:val="double" w:sz="2" w:space="0" w:color="50E1E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GridTable2-Accent6">
    <w:name w:val="Grid Table 2 Accent 6"/>
    <w:basedOn w:val="TableNormal"/>
    <w:rsid w:val="00DC0A72"/>
    <w:pPr>
      <w:spacing w:after="0" w:line="240" w:lineRule="auto"/>
    </w:pPr>
    <w:tblPr>
      <w:tblStyleRowBandSize w:val="1"/>
      <w:tblStyleColBandSize w:val="1"/>
      <w:tblBorders>
        <w:top w:val="single" w:sz="2" w:space="0" w:color="55E7B3" w:themeColor="accent6" w:themeTint="99"/>
        <w:bottom w:val="single" w:sz="2" w:space="0" w:color="55E7B3" w:themeColor="accent6" w:themeTint="99"/>
        <w:insideH w:val="single" w:sz="2" w:space="0" w:color="55E7B3" w:themeColor="accent6" w:themeTint="99"/>
        <w:insideV w:val="single" w:sz="2" w:space="0" w:color="55E7B3" w:themeColor="accent6" w:themeTint="99"/>
      </w:tblBorders>
    </w:tblPr>
    <w:tblStylePr w:type="firstRow">
      <w:rPr>
        <w:b/>
        <w:bCs/>
      </w:rPr>
      <w:tblPr/>
      <w:tcPr>
        <w:tcBorders>
          <w:top w:val="nil"/>
          <w:bottom w:val="single" w:sz="12" w:space="0" w:color="55E7B3" w:themeColor="accent6" w:themeTint="99"/>
          <w:insideH w:val="nil"/>
          <w:insideV w:val="nil"/>
        </w:tcBorders>
        <w:shd w:val="clear" w:color="auto" w:fill="FFFFFF" w:themeFill="background1"/>
      </w:tcPr>
    </w:tblStylePr>
    <w:tblStylePr w:type="lastRow">
      <w:rPr>
        <w:b/>
        <w:bCs/>
      </w:rPr>
      <w:tblPr/>
      <w:tcPr>
        <w:tcBorders>
          <w:top w:val="double" w:sz="2" w:space="0" w:color="55E7B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GridTable3">
    <w:name w:val="Grid Table 3"/>
    <w:basedOn w:val="TableNormal"/>
    <w:rsid w:val="00DC0A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rsid w:val="00DC0A72"/>
    <w:pPr>
      <w:spacing w:after="0" w:line="240" w:lineRule="auto"/>
    </w:pPr>
    <w:tblPr>
      <w:tblStyleRowBandSize w:val="1"/>
      <w:tblStyleColBandSize w:val="1"/>
      <w:tblBorders>
        <w:top w:val="single" w:sz="4" w:space="0" w:color="217BDD" w:themeColor="accent1" w:themeTint="99"/>
        <w:left w:val="single" w:sz="4" w:space="0" w:color="217BDD" w:themeColor="accent1" w:themeTint="99"/>
        <w:bottom w:val="single" w:sz="4" w:space="0" w:color="217BDD" w:themeColor="accent1" w:themeTint="99"/>
        <w:right w:val="single" w:sz="4" w:space="0" w:color="217BDD" w:themeColor="accent1" w:themeTint="99"/>
        <w:insideH w:val="single" w:sz="4" w:space="0" w:color="217BDD" w:themeColor="accent1" w:themeTint="99"/>
        <w:insideV w:val="single" w:sz="4" w:space="0" w:color="217BD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4D3F3" w:themeFill="accent1" w:themeFillTint="33"/>
      </w:tcPr>
    </w:tblStylePr>
    <w:tblStylePr w:type="band1Horz">
      <w:tblPr/>
      <w:tcPr>
        <w:shd w:val="clear" w:color="auto" w:fill="B4D3F3" w:themeFill="accent1" w:themeFillTint="33"/>
      </w:tcPr>
    </w:tblStylePr>
    <w:tblStylePr w:type="neCell">
      <w:tblPr/>
      <w:tcPr>
        <w:tcBorders>
          <w:bottom w:val="single" w:sz="4" w:space="0" w:color="217BDD" w:themeColor="accent1" w:themeTint="99"/>
        </w:tcBorders>
      </w:tcPr>
    </w:tblStylePr>
    <w:tblStylePr w:type="nwCell">
      <w:tblPr/>
      <w:tcPr>
        <w:tcBorders>
          <w:bottom w:val="single" w:sz="4" w:space="0" w:color="217BDD" w:themeColor="accent1" w:themeTint="99"/>
        </w:tcBorders>
      </w:tcPr>
    </w:tblStylePr>
    <w:tblStylePr w:type="seCell">
      <w:tblPr/>
      <w:tcPr>
        <w:tcBorders>
          <w:top w:val="single" w:sz="4" w:space="0" w:color="217BDD" w:themeColor="accent1" w:themeTint="99"/>
        </w:tcBorders>
      </w:tcPr>
    </w:tblStylePr>
    <w:tblStylePr w:type="swCell">
      <w:tblPr/>
      <w:tcPr>
        <w:tcBorders>
          <w:top w:val="single" w:sz="4" w:space="0" w:color="217BDD" w:themeColor="accent1" w:themeTint="99"/>
        </w:tcBorders>
      </w:tcPr>
    </w:tblStylePr>
  </w:style>
  <w:style w:type="table" w:styleId="GridTable3-Accent2">
    <w:name w:val="Grid Table 3 Accent 2"/>
    <w:basedOn w:val="TableNormal"/>
    <w:rsid w:val="00DC0A72"/>
    <w:pPr>
      <w:spacing w:after="0" w:line="240" w:lineRule="auto"/>
    </w:pPr>
    <w:tblPr>
      <w:tblStyleRowBandSize w:val="1"/>
      <w:tblStyleColBandSize w:val="1"/>
      <w:tblBorders>
        <w:top w:val="single" w:sz="4" w:space="0" w:color="E67C79" w:themeColor="accent2" w:themeTint="99"/>
        <w:left w:val="single" w:sz="4" w:space="0" w:color="E67C79" w:themeColor="accent2" w:themeTint="99"/>
        <w:bottom w:val="single" w:sz="4" w:space="0" w:color="E67C79" w:themeColor="accent2" w:themeTint="99"/>
        <w:right w:val="single" w:sz="4" w:space="0" w:color="E67C79" w:themeColor="accent2" w:themeTint="99"/>
        <w:insideH w:val="single" w:sz="4" w:space="0" w:color="E67C79" w:themeColor="accent2" w:themeTint="99"/>
        <w:insideV w:val="single" w:sz="4" w:space="0" w:color="E67C7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6D3D2" w:themeFill="accent2" w:themeFillTint="33"/>
      </w:tcPr>
    </w:tblStylePr>
    <w:tblStylePr w:type="band1Horz">
      <w:tblPr/>
      <w:tcPr>
        <w:shd w:val="clear" w:color="auto" w:fill="F6D3D2" w:themeFill="accent2" w:themeFillTint="33"/>
      </w:tcPr>
    </w:tblStylePr>
    <w:tblStylePr w:type="neCell">
      <w:tblPr/>
      <w:tcPr>
        <w:tcBorders>
          <w:bottom w:val="single" w:sz="4" w:space="0" w:color="E67C79" w:themeColor="accent2" w:themeTint="99"/>
        </w:tcBorders>
      </w:tcPr>
    </w:tblStylePr>
    <w:tblStylePr w:type="nwCell">
      <w:tblPr/>
      <w:tcPr>
        <w:tcBorders>
          <w:bottom w:val="single" w:sz="4" w:space="0" w:color="E67C79" w:themeColor="accent2" w:themeTint="99"/>
        </w:tcBorders>
      </w:tcPr>
    </w:tblStylePr>
    <w:tblStylePr w:type="seCell">
      <w:tblPr/>
      <w:tcPr>
        <w:tcBorders>
          <w:top w:val="single" w:sz="4" w:space="0" w:color="E67C79" w:themeColor="accent2" w:themeTint="99"/>
        </w:tcBorders>
      </w:tcPr>
    </w:tblStylePr>
    <w:tblStylePr w:type="swCell">
      <w:tblPr/>
      <w:tcPr>
        <w:tcBorders>
          <w:top w:val="single" w:sz="4" w:space="0" w:color="E67C79" w:themeColor="accent2" w:themeTint="99"/>
        </w:tcBorders>
      </w:tcPr>
    </w:tblStylePr>
  </w:style>
  <w:style w:type="table" w:styleId="GridTable3-Accent3">
    <w:name w:val="Grid Table 3 Accent 3"/>
    <w:basedOn w:val="TableNormal"/>
    <w:rsid w:val="00DC0A72"/>
    <w:pPr>
      <w:spacing w:after="0" w:line="240" w:lineRule="auto"/>
    </w:pPr>
    <w:tblPr>
      <w:tblStyleRowBandSize w:val="1"/>
      <w:tblStyleColBandSize w:val="1"/>
      <w:tblBorders>
        <w:top w:val="single" w:sz="4" w:space="0" w:color="99A4AD" w:themeColor="accent3" w:themeTint="99"/>
        <w:left w:val="single" w:sz="4" w:space="0" w:color="99A4AD" w:themeColor="accent3" w:themeTint="99"/>
        <w:bottom w:val="single" w:sz="4" w:space="0" w:color="99A4AD" w:themeColor="accent3" w:themeTint="99"/>
        <w:right w:val="single" w:sz="4" w:space="0" w:color="99A4AD" w:themeColor="accent3" w:themeTint="99"/>
        <w:insideH w:val="single" w:sz="4" w:space="0" w:color="99A4AD" w:themeColor="accent3" w:themeTint="99"/>
        <w:insideV w:val="single" w:sz="4" w:space="0" w:color="99A4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E0E3" w:themeFill="accent3" w:themeFillTint="33"/>
      </w:tcPr>
    </w:tblStylePr>
    <w:tblStylePr w:type="band1Horz">
      <w:tblPr/>
      <w:tcPr>
        <w:shd w:val="clear" w:color="auto" w:fill="DDE0E3" w:themeFill="accent3" w:themeFillTint="33"/>
      </w:tcPr>
    </w:tblStylePr>
    <w:tblStylePr w:type="neCell">
      <w:tblPr/>
      <w:tcPr>
        <w:tcBorders>
          <w:bottom w:val="single" w:sz="4" w:space="0" w:color="99A4AD" w:themeColor="accent3" w:themeTint="99"/>
        </w:tcBorders>
      </w:tcPr>
    </w:tblStylePr>
    <w:tblStylePr w:type="nwCell">
      <w:tblPr/>
      <w:tcPr>
        <w:tcBorders>
          <w:bottom w:val="single" w:sz="4" w:space="0" w:color="99A4AD" w:themeColor="accent3" w:themeTint="99"/>
        </w:tcBorders>
      </w:tcPr>
    </w:tblStylePr>
    <w:tblStylePr w:type="seCell">
      <w:tblPr/>
      <w:tcPr>
        <w:tcBorders>
          <w:top w:val="single" w:sz="4" w:space="0" w:color="99A4AD" w:themeColor="accent3" w:themeTint="99"/>
        </w:tcBorders>
      </w:tcPr>
    </w:tblStylePr>
    <w:tblStylePr w:type="swCell">
      <w:tblPr/>
      <w:tcPr>
        <w:tcBorders>
          <w:top w:val="single" w:sz="4" w:space="0" w:color="99A4AD" w:themeColor="accent3" w:themeTint="99"/>
        </w:tcBorders>
      </w:tcPr>
    </w:tblStylePr>
  </w:style>
  <w:style w:type="table" w:styleId="GridTable3-Accent4">
    <w:name w:val="Grid Table 3 Accent 4"/>
    <w:basedOn w:val="TableNormal"/>
    <w:rsid w:val="00DC0A72"/>
    <w:pPr>
      <w:spacing w:after="0" w:line="240" w:lineRule="auto"/>
    </w:pPr>
    <w:tblPr>
      <w:tblStyleRowBandSize w:val="1"/>
      <w:tblStyleColBandSize w:val="1"/>
      <w:tblBorders>
        <w:top w:val="single" w:sz="4" w:space="0" w:color="F6D276" w:themeColor="accent4" w:themeTint="99"/>
        <w:left w:val="single" w:sz="4" w:space="0" w:color="F6D276" w:themeColor="accent4" w:themeTint="99"/>
        <w:bottom w:val="single" w:sz="4" w:space="0" w:color="F6D276" w:themeColor="accent4" w:themeTint="99"/>
        <w:right w:val="single" w:sz="4" w:space="0" w:color="F6D276" w:themeColor="accent4" w:themeTint="99"/>
        <w:insideH w:val="single" w:sz="4" w:space="0" w:color="F6D276" w:themeColor="accent4" w:themeTint="99"/>
        <w:insideV w:val="single" w:sz="4" w:space="0" w:color="F6D27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0D1" w:themeFill="accent4" w:themeFillTint="33"/>
      </w:tcPr>
    </w:tblStylePr>
    <w:tblStylePr w:type="band1Horz">
      <w:tblPr/>
      <w:tcPr>
        <w:shd w:val="clear" w:color="auto" w:fill="FCF0D1" w:themeFill="accent4" w:themeFillTint="33"/>
      </w:tcPr>
    </w:tblStylePr>
    <w:tblStylePr w:type="neCell">
      <w:tblPr/>
      <w:tcPr>
        <w:tcBorders>
          <w:bottom w:val="single" w:sz="4" w:space="0" w:color="F6D276" w:themeColor="accent4" w:themeTint="99"/>
        </w:tcBorders>
      </w:tcPr>
    </w:tblStylePr>
    <w:tblStylePr w:type="nwCell">
      <w:tblPr/>
      <w:tcPr>
        <w:tcBorders>
          <w:bottom w:val="single" w:sz="4" w:space="0" w:color="F6D276" w:themeColor="accent4" w:themeTint="99"/>
        </w:tcBorders>
      </w:tcPr>
    </w:tblStylePr>
    <w:tblStylePr w:type="seCell">
      <w:tblPr/>
      <w:tcPr>
        <w:tcBorders>
          <w:top w:val="single" w:sz="4" w:space="0" w:color="F6D276" w:themeColor="accent4" w:themeTint="99"/>
        </w:tcBorders>
      </w:tcPr>
    </w:tblStylePr>
    <w:tblStylePr w:type="swCell">
      <w:tblPr/>
      <w:tcPr>
        <w:tcBorders>
          <w:top w:val="single" w:sz="4" w:space="0" w:color="F6D276" w:themeColor="accent4" w:themeTint="99"/>
        </w:tcBorders>
      </w:tcPr>
    </w:tblStylePr>
  </w:style>
  <w:style w:type="table" w:styleId="GridTable3-Accent5">
    <w:name w:val="Grid Table 3 Accent 5"/>
    <w:basedOn w:val="TableNormal"/>
    <w:rsid w:val="00DC0A72"/>
    <w:pPr>
      <w:spacing w:after="0" w:line="240" w:lineRule="auto"/>
    </w:pPr>
    <w:tblPr>
      <w:tblStyleRowBandSize w:val="1"/>
      <w:tblStyleColBandSize w:val="1"/>
      <w:tblBorders>
        <w:top w:val="single" w:sz="4" w:space="0" w:color="50E1E2" w:themeColor="accent5" w:themeTint="99"/>
        <w:left w:val="single" w:sz="4" w:space="0" w:color="50E1E2" w:themeColor="accent5" w:themeTint="99"/>
        <w:bottom w:val="single" w:sz="4" w:space="0" w:color="50E1E2" w:themeColor="accent5" w:themeTint="99"/>
        <w:right w:val="single" w:sz="4" w:space="0" w:color="50E1E2" w:themeColor="accent5" w:themeTint="99"/>
        <w:insideH w:val="single" w:sz="4" w:space="0" w:color="50E1E2" w:themeColor="accent5" w:themeTint="99"/>
        <w:insideV w:val="single" w:sz="4" w:space="0" w:color="50E1E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4F5F5" w:themeFill="accent5" w:themeFillTint="33"/>
      </w:tcPr>
    </w:tblStylePr>
    <w:tblStylePr w:type="band1Horz">
      <w:tblPr/>
      <w:tcPr>
        <w:shd w:val="clear" w:color="auto" w:fill="C4F5F5" w:themeFill="accent5" w:themeFillTint="33"/>
      </w:tcPr>
    </w:tblStylePr>
    <w:tblStylePr w:type="neCell">
      <w:tblPr/>
      <w:tcPr>
        <w:tcBorders>
          <w:bottom w:val="single" w:sz="4" w:space="0" w:color="50E1E2" w:themeColor="accent5" w:themeTint="99"/>
        </w:tcBorders>
      </w:tcPr>
    </w:tblStylePr>
    <w:tblStylePr w:type="nwCell">
      <w:tblPr/>
      <w:tcPr>
        <w:tcBorders>
          <w:bottom w:val="single" w:sz="4" w:space="0" w:color="50E1E2" w:themeColor="accent5" w:themeTint="99"/>
        </w:tcBorders>
      </w:tcPr>
    </w:tblStylePr>
    <w:tblStylePr w:type="seCell">
      <w:tblPr/>
      <w:tcPr>
        <w:tcBorders>
          <w:top w:val="single" w:sz="4" w:space="0" w:color="50E1E2" w:themeColor="accent5" w:themeTint="99"/>
        </w:tcBorders>
      </w:tcPr>
    </w:tblStylePr>
    <w:tblStylePr w:type="swCell">
      <w:tblPr/>
      <w:tcPr>
        <w:tcBorders>
          <w:top w:val="single" w:sz="4" w:space="0" w:color="50E1E2" w:themeColor="accent5" w:themeTint="99"/>
        </w:tcBorders>
      </w:tcPr>
    </w:tblStylePr>
  </w:style>
  <w:style w:type="table" w:styleId="GridTable3-Accent6">
    <w:name w:val="Grid Table 3 Accent 6"/>
    <w:basedOn w:val="TableNormal"/>
    <w:rsid w:val="00DC0A72"/>
    <w:pPr>
      <w:spacing w:after="0" w:line="240" w:lineRule="auto"/>
    </w:pPr>
    <w:tblPr>
      <w:tblStyleRowBandSize w:val="1"/>
      <w:tblStyleColBandSize w:val="1"/>
      <w:tblBorders>
        <w:top w:val="single" w:sz="4" w:space="0" w:color="55E7B3" w:themeColor="accent6" w:themeTint="99"/>
        <w:left w:val="single" w:sz="4" w:space="0" w:color="55E7B3" w:themeColor="accent6" w:themeTint="99"/>
        <w:bottom w:val="single" w:sz="4" w:space="0" w:color="55E7B3" w:themeColor="accent6" w:themeTint="99"/>
        <w:right w:val="single" w:sz="4" w:space="0" w:color="55E7B3" w:themeColor="accent6" w:themeTint="99"/>
        <w:insideH w:val="single" w:sz="4" w:space="0" w:color="55E7B3" w:themeColor="accent6" w:themeTint="99"/>
        <w:insideV w:val="single" w:sz="4" w:space="0" w:color="55E7B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7E5" w:themeFill="accent6" w:themeFillTint="33"/>
      </w:tcPr>
    </w:tblStylePr>
    <w:tblStylePr w:type="band1Horz">
      <w:tblPr/>
      <w:tcPr>
        <w:shd w:val="clear" w:color="auto" w:fill="C6F7E5" w:themeFill="accent6" w:themeFillTint="33"/>
      </w:tcPr>
    </w:tblStylePr>
    <w:tblStylePr w:type="neCell">
      <w:tblPr/>
      <w:tcPr>
        <w:tcBorders>
          <w:bottom w:val="single" w:sz="4" w:space="0" w:color="55E7B3" w:themeColor="accent6" w:themeTint="99"/>
        </w:tcBorders>
      </w:tcPr>
    </w:tblStylePr>
    <w:tblStylePr w:type="nwCell">
      <w:tblPr/>
      <w:tcPr>
        <w:tcBorders>
          <w:bottom w:val="single" w:sz="4" w:space="0" w:color="55E7B3" w:themeColor="accent6" w:themeTint="99"/>
        </w:tcBorders>
      </w:tcPr>
    </w:tblStylePr>
    <w:tblStylePr w:type="seCell">
      <w:tblPr/>
      <w:tcPr>
        <w:tcBorders>
          <w:top w:val="single" w:sz="4" w:space="0" w:color="55E7B3" w:themeColor="accent6" w:themeTint="99"/>
        </w:tcBorders>
      </w:tcPr>
    </w:tblStylePr>
    <w:tblStylePr w:type="swCell">
      <w:tblPr/>
      <w:tcPr>
        <w:tcBorders>
          <w:top w:val="single" w:sz="4" w:space="0" w:color="55E7B3" w:themeColor="accent6" w:themeTint="99"/>
        </w:tcBorders>
      </w:tcPr>
    </w:tblStylePr>
  </w:style>
  <w:style w:type="table" w:styleId="GridTable4">
    <w:name w:val="Grid Table 4"/>
    <w:basedOn w:val="TableNormal"/>
    <w:rsid w:val="00DC0A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2">
    <w:name w:val="Grid Table 4 Accent 2"/>
    <w:basedOn w:val="TableNormal"/>
    <w:rsid w:val="00DC0A72"/>
    <w:pPr>
      <w:spacing w:after="0" w:line="240" w:lineRule="auto"/>
    </w:pPr>
    <w:tblPr>
      <w:tblStyleRowBandSize w:val="1"/>
      <w:tblStyleColBandSize w:val="1"/>
      <w:tblBorders>
        <w:top w:val="single" w:sz="4" w:space="0" w:color="E67C79" w:themeColor="accent2" w:themeTint="99"/>
        <w:left w:val="single" w:sz="4" w:space="0" w:color="E67C79" w:themeColor="accent2" w:themeTint="99"/>
        <w:bottom w:val="single" w:sz="4" w:space="0" w:color="E67C79" w:themeColor="accent2" w:themeTint="99"/>
        <w:right w:val="single" w:sz="4" w:space="0" w:color="E67C79" w:themeColor="accent2" w:themeTint="99"/>
        <w:insideH w:val="single" w:sz="4" w:space="0" w:color="E67C79" w:themeColor="accent2" w:themeTint="99"/>
        <w:insideV w:val="single" w:sz="4" w:space="0" w:color="E67C79" w:themeColor="accent2" w:themeTint="99"/>
      </w:tblBorders>
    </w:tblPr>
    <w:tblStylePr w:type="firstRow">
      <w:rPr>
        <w:b/>
        <w:bCs/>
        <w:color w:val="FFFFFF" w:themeColor="background1"/>
      </w:rPr>
      <w:tblPr/>
      <w:tcPr>
        <w:tcBorders>
          <w:top w:val="single" w:sz="4" w:space="0" w:color="D02B27" w:themeColor="accent2"/>
          <w:left w:val="single" w:sz="4" w:space="0" w:color="D02B27" w:themeColor="accent2"/>
          <w:bottom w:val="single" w:sz="4" w:space="0" w:color="D02B27" w:themeColor="accent2"/>
          <w:right w:val="single" w:sz="4" w:space="0" w:color="D02B27" w:themeColor="accent2"/>
          <w:insideH w:val="nil"/>
          <w:insideV w:val="nil"/>
        </w:tcBorders>
        <w:shd w:val="clear" w:color="auto" w:fill="D02B27" w:themeFill="accent2"/>
      </w:tcPr>
    </w:tblStylePr>
    <w:tblStylePr w:type="lastRow">
      <w:rPr>
        <w:b/>
        <w:bCs/>
      </w:rPr>
      <w:tblPr/>
      <w:tcPr>
        <w:tcBorders>
          <w:top w:val="double" w:sz="4" w:space="0" w:color="D02B27" w:themeColor="accent2"/>
        </w:tcBorders>
      </w:tc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GridTable4-Accent3">
    <w:name w:val="Grid Table 4 Accent 3"/>
    <w:basedOn w:val="TableNormal"/>
    <w:rsid w:val="00DC0A72"/>
    <w:pPr>
      <w:spacing w:after="0" w:line="240" w:lineRule="auto"/>
    </w:pPr>
    <w:tblPr>
      <w:tblStyleRowBandSize w:val="1"/>
      <w:tblStyleColBandSize w:val="1"/>
      <w:tblBorders>
        <w:top w:val="single" w:sz="4" w:space="0" w:color="99A4AD" w:themeColor="accent3" w:themeTint="99"/>
        <w:left w:val="single" w:sz="4" w:space="0" w:color="99A4AD" w:themeColor="accent3" w:themeTint="99"/>
        <w:bottom w:val="single" w:sz="4" w:space="0" w:color="99A4AD" w:themeColor="accent3" w:themeTint="99"/>
        <w:right w:val="single" w:sz="4" w:space="0" w:color="99A4AD" w:themeColor="accent3" w:themeTint="99"/>
        <w:insideH w:val="single" w:sz="4" w:space="0" w:color="99A4AD" w:themeColor="accent3" w:themeTint="99"/>
        <w:insideV w:val="single" w:sz="4" w:space="0" w:color="99A4AD" w:themeColor="accent3" w:themeTint="99"/>
      </w:tblBorders>
    </w:tblPr>
    <w:tblStylePr w:type="firstRow">
      <w:rPr>
        <w:b/>
        <w:bCs/>
        <w:color w:val="FFFFFF" w:themeColor="background1"/>
      </w:rPr>
      <w:tblPr/>
      <w:tcPr>
        <w:tcBorders>
          <w:top w:val="single" w:sz="4" w:space="0" w:color="5B6771" w:themeColor="accent3"/>
          <w:left w:val="single" w:sz="4" w:space="0" w:color="5B6771" w:themeColor="accent3"/>
          <w:bottom w:val="single" w:sz="4" w:space="0" w:color="5B6771" w:themeColor="accent3"/>
          <w:right w:val="single" w:sz="4" w:space="0" w:color="5B6771" w:themeColor="accent3"/>
          <w:insideH w:val="nil"/>
          <w:insideV w:val="nil"/>
        </w:tcBorders>
        <w:shd w:val="clear" w:color="auto" w:fill="5B6771" w:themeFill="accent3"/>
      </w:tcPr>
    </w:tblStylePr>
    <w:tblStylePr w:type="lastRow">
      <w:rPr>
        <w:b/>
        <w:bCs/>
      </w:rPr>
      <w:tblPr/>
      <w:tcPr>
        <w:tcBorders>
          <w:top w:val="double" w:sz="4" w:space="0" w:color="5B6771" w:themeColor="accent3"/>
        </w:tcBorders>
      </w:tc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GridTable4-Accent4">
    <w:name w:val="Grid Table 4 Accent 4"/>
    <w:basedOn w:val="TableNormal"/>
    <w:rsid w:val="00DC0A72"/>
    <w:pPr>
      <w:spacing w:after="0" w:line="240" w:lineRule="auto"/>
    </w:pPr>
    <w:tblPr>
      <w:tblStyleRowBandSize w:val="1"/>
      <w:tblStyleColBandSize w:val="1"/>
      <w:tblBorders>
        <w:top w:val="single" w:sz="4" w:space="0" w:color="F6D276" w:themeColor="accent4" w:themeTint="99"/>
        <w:left w:val="single" w:sz="4" w:space="0" w:color="F6D276" w:themeColor="accent4" w:themeTint="99"/>
        <w:bottom w:val="single" w:sz="4" w:space="0" w:color="F6D276" w:themeColor="accent4" w:themeTint="99"/>
        <w:right w:val="single" w:sz="4" w:space="0" w:color="F6D276" w:themeColor="accent4" w:themeTint="99"/>
        <w:insideH w:val="single" w:sz="4" w:space="0" w:color="F6D276" w:themeColor="accent4" w:themeTint="99"/>
        <w:insideV w:val="single" w:sz="4" w:space="0" w:color="F6D276" w:themeColor="accent4" w:themeTint="99"/>
      </w:tblBorders>
    </w:tblPr>
    <w:tblStylePr w:type="firstRow">
      <w:rPr>
        <w:b/>
        <w:bCs/>
        <w:color w:val="FFFFFF" w:themeColor="background1"/>
      </w:rPr>
      <w:tblPr/>
      <w:tcPr>
        <w:tcBorders>
          <w:top w:val="single" w:sz="4" w:space="0" w:color="F1B51C" w:themeColor="accent4"/>
          <w:left w:val="single" w:sz="4" w:space="0" w:color="F1B51C" w:themeColor="accent4"/>
          <w:bottom w:val="single" w:sz="4" w:space="0" w:color="F1B51C" w:themeColor="accent4"/>
          <w:right w:val="single" w:sz="4" w:space="0" w:color="F1B51C" w:themeColor="accent4"/>
          <w:insideH w:val="nil"/>
          <w:insideV w:val="nil"/>
        </w:tcBorders>
        <w:shd w:val="clear" w:color="auto" w:fill="F1B51C" w:themeFill="accent4"/>
      </w:tcPr>
    </w:tblStylePr>
    <w:tblStylePr w:type="lastRow">
      <w:rPr>
        <w:b/>
        <w:bCs/>
      </w:rPr>
      <w:tblPr/>
      <w:tcPr>
        <w:tcBorders>
          <w:top w:val="double" w:sz="4" w:space="0" w:color="F1B51C" w:themeColor="accent4"/>
        </w:tcBorders>
      </w:tc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GridTable4-Accent5">
    <w:name w:val="Grid Table 4 Accent 5"/>
    <w:basedOn w:val="TableNormal"/>
    <w:rsid w:val="00DC0A72"/>
    <w:pPr>
      <w:spacing w:after="0" w:line="240" w:lineRule="auto"/>
    </w:pPr>
    <w:tblPr>
      <w:tblStyleRowBandSize w:val="1"/>
      <w:tblStyleColBandSize w:val="1"/>
      <w:tblBorders>
        <w:top w:val="single" w:sz="4" w:space="0" w:color="50E1E2" w:themeColor="accent5" w:themeTint="99"/>
        <w:left w:val="single" w:sz="4" w:space="0" w:color="50E1E2" w:themeColor="accent5" w:themeTint="99"/>
        <w:bottom w:val="single" w:sz="4" w:space="0" w:color="50E1E2" w:themeColor="accent5" w:themeTint="99"/>
        <w:right w:val="single" w:sz="4" w:space="0" w:color="50E1E2" w:themeColor="accent5" w:themeTint="99"/>
        <w:insideH w:val="single" w:sz="4" w:space="0" w:color="50E1E2" w:themeColor="accent5" w:themeTint="99"/>
        <w:insideV w:val="single" w:sz="4" w:space="0" w:color="50E1E2" w:themeColor="accent5" w:themeTint="99"/>
      </w:tblBorders>
    </w:tblPr>
    <w:tblStylePr w:type="firstRow">
      <w:rPr>
        <w:b/>
        <w:bCs/>
        <w:color w:val="FFFFFF" w:themeColor="background1"/>
      </w:rPr>
      <w:tblPr/>
      <w:tcPr>
        <w:tcBorders>
          <w:top w:val="single" w:sz="4" w:space="0" w:color="189394" w:themeColor="accent5"/>
          <w:left w:val="single" w:sz="4" w:space="0" w:color="189394" w:themeColor="accent5"/>
          <w:bottom w:val="single" w:sz="4" w:space="0" w:color="189394" w:themeColor="accent5"/>
          <w:right w:val="single" w:sz="4" w:space="0" w:color="189394" w:themeColor="accent5"/>
          <w:insideH w:val="nil"/>
          <w:insideV w:val="nil"/>
        </w:tcBorders>
        <w:shd w:val="clear" w:color="auto" w:fill="189394" w:themeFill="accent5"/>
      </w:tcPr>
    </w:tblStylePr>
    <w:tblStylePr w:type="lastRow">
      <w:rPr>
        <w:b/>
        <w:bCs/>
      </w:rPr>
      <w:tblPr/>
      <w:tcPr>
        <w:tcBorders>
          <w:top w:val="double" w:sz="4" w:space="0" w:color="189394" w:themeColor="accent5"/>
        </w:tcBorders>
      </w:tc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GridTable4-Accent6">
    <w:name w:val="Grid Table 4 Accent 6"/>
    <w:basedOn w:val="TableNormal"/>
    <w:rsid w:val="00DC0A72"/>
    <w:pPr>
      <w:spacing w:after="0" w:line="240" w:lineRule="auto"/>
    </w:pPr>
    <w:tblPr>
      <w:tblStyleRowBandSize w:val="1"/>
      <w:tblStyleColBandSize w:val="1"/>
      <w:tblBorders>
        <w:top w:val="single" w:sz="4" w:space="0" w:color="55E7B3" w:themeColor="accent6" w:themeTint="99"/>
        <w:left w:val="single" w:sz="4" w:space="0" w:color="55E7B3" w:themeColor="accent6" w:themeTint="99"/>
        <w:bottom w:val="single" w:sz="4" w:space="0" w:color="55E7B3" w:themeColor="accent6" w:themeTint="99"/>
        <w:right w:val="single" w:sz="4" w:space="0" w:color="55E7B3" w:themeColor="accent6" w:themeTint="99"/>
        <w:insideH w:val="single" w:sz="4" w:space="0" w:color="55E7B3" w:themeColor="accent6" w:themeTint="99"/>
        <w:insideV w:val="single" w:sz="4" w:space="0" w:color="55E7B3" w:themeColor="accent6" w:themeTint="99"/>
      </w:tblBorders>
    </w:tblPr>
    <w:tblStylePr w:type="firstRow">
      <w:rPr>
        <w:b/>
        <w:bCs/>
        <w:color w:val="FFFFFF" w:themeColor="background1"/>
      </w:rPr>
      <w:tblPr/>
      <w:tcPr>
        <w:tcBorders>
          <w:top w:val="single" w:sz="4" w:space="0" w:color="17A673" w:themeColor="accent6"/>
          <w:left w:val="single" w:sz="4" w:space="0" w:color="17A673" w:themeColor="accent6"/>
          <w:bottom w:val="single" w:sz="4" w:space="0" w:color="17A673" w:themeColor="accent6"/>
          <w:right w:val="single" w:sz="4" w:space="0" w:color="17A673" w:themeColor="accent6"/>
          <w:insideH w:val="nil"/>
          <w:insideV w:val="nil"/>
        </w:tcBorders>
        <w:shd w:val="clear" w:color="auto" w:fill="17A673" w:themeFill="accent6"/>
      </w:tcPr>
    </w:tblStylePr>
    <w:tblStylePr w:type="lastRow">
      <w:rPr>
        <w:b/>
        <w:bCs/>
      </w:rPr>
      <w:tblPr/>
      <w:tcPr>
        <w:tcBorders>
          <w:top w:val="double" w:sz="4" w:space="0" w:color="17A673" w:themeColor="accent6"/>
        </w:tcBorders>
      </w:tc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GridTable5Dark">
    <w:name w:val="Grid Table 5 Dark"/>
    <w:basedOn w:val="TableNormal"/>
    <w:rsid w:val="00DC0A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rsid w:val="00DC0A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4D3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B294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B294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B294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B2949" w:themeFill="accent1"/>
      </w:tcPr>
    </w:tblStylePr>
    <w:tblStylePr w:type="band1Vert">
      <w:tblPr/>
      <w:tcPr>
        <w:shd w:val="clear" w:color="auto" w:fill="6AA7E8" w:themeFill="accent1" w:themeFillTint="66"/>
      </w:tcPr>
    </w:tblStylePr>
    <w:tblStylePr w:type="band1Horz">
      <w:tblPr/>
      <w:tcPr>
        <w:shd w:val="clear" w:color="auto" w:fill="6AA7E8" w:themeFill="accent1" w:themeFillTint="66"/>
      </w:tcPr>
    </w:tblStylePr>
  </w:style>
  <w:style w:type="table" w:styleId="GridTable5Dark-Accent2">
    <w:name w:val="Grid Table 5 Dark Accent 2"/>
    <w:basedOn w:val="TableNormal"/>
    <w:rsid w:val="00DC0A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6D3D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02B2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02B2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02B2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02B27" w:themeFill="accent2"/>
      </w:tcPr>
    </w:tblStylePr>
    <w:tblStylePr w:type="band1Vert">
      <w:tblPr/>
      <w:tcPr>
        <w:shd w:val="clear" w:color="auto" w:fill="EEA7A6" w:themeFill="accent2" w:themeFillTint="66"/>
      </w:tcPr>
    </w:tblStylePr>
    <w:tblStylePr w:type="band1Horz">
      <w:tblPr/>
      <w:tcPr>
        <w:shd w:val="clear" w:color="auto" w:fill="EEA7A6" w:themeFill="accent2" w:themeFillTint="66"/>
      </w:tcPr>
    </w:tblStylePr>
  </w:style>
  <w:style w:type="table" w:styleId="GridTable5Dark-Accent3">
    <w:name w:val="Grid Table 5 Dark Accent 3"/>
    <w:basedOn w:val="TableNormal"/>
    <w:rsid w:val="00DC0A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0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677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677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677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6771" w:themeFill="accent3"/>
      </w:tcPr>
    </w:tblStylePr>
    <w:tblStylePr w:type="band1Vert">
      <w:tblPr/>
      <w:tcPr>
        <w:shd w:val="clear" w:color="auto" w:fill="BBC2C8" w:themeFill="accent3" w:themeFillTint="66"/>
      </w:tcPr>
    </w:tblStylePr>
    <w:tblStylePr w:type="band1Horz">
      <w:tblPr/>
      <w:tcPr>
        <w:shd w:val="clear" w:color="auto" w:fill="BBC2C8" w:themeFill="accent3" w:themeFillTint="66"/>
      </w:tcPr>
    </w:tblStylePr>
  </w:style>
  <w:style w:type="table" w:styleId="GridTable5Dark-Accent4">
    <w:name w:val="Grid Table 5 Dark Accent 4"/>
    <w:basedOn w:val="TableNormal"/>
    <w:rsid w:val="00DC0A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F0D1"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1B51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1B51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1B51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1B51C" w:themeFill="accent4"/>
      </w:tcPr>
    </w:tblStylePr>
    <w:tblStylePr w:type="band1Vert">
      <w:tblPr/>
      <w:tcPr>
        <w:shd w:val="clear" w:color="auto" w:fill="F9E1A3" w:themeFill="accent4" w:themeFillTint="66"/>
      </w:tcPr>
    </w:tblStylePr>
    <w:tblStylePr w:type="band1Horz">
      <w:tblPr/>
      <w:tcPr>
        <w:shd w:val="clear" w:color="auto" w:fill="F9E1A3" w:themeFill="accent4" w:themeFillTint="66"/>
      </w:tcPr>
    </w:tblStylePr>
  </w:style>
  <w:style w:type="table" w:styleId="GridTable5Dark-Accent5">
    <w:name w:val="Grid Table 5 Dark Accent 5"/>
    <w:basedOn w:val="TableNormal"/>
    <w:rsid w:val="00DC0A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4F5F5"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8939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8939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8939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89394" w:themeFill="accent5"/>
      </w:tcPr>
    </w:tblStylePr>
    <w:tblStylePr w:type="band1Vert">
      <w:tblPr/>
      <w:tcPr>
        <w:shd w:val="clear" w:color="auto" w:fill="8AEBEC" w:themeFill="accent5" w:themeFillTint="66"/>
      </w:tcPr>
    </w:tblStylePr>
    <w:tblStylePr w:type="band1Horz">
      <w:tblPr/>
      <w:tcPr>
        <w:shd w:val="clear" w:color="auto" w:fill="8AEBEC" w:themeFill="accent5" w:themeFillTint="66"/>
      </w:tcPr>
    </w:tblStylePr>
  </w:style>
  <w:style w:type="table" w:styleId="GridTable5Dark-Accent6">
    <w:name w:val="Grid Table 5 Dark Accent 6"/>
    <w:basedOn w:val="TableNormal"/>
    <w:rsid w:val="00DC0A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F7E5"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7A67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7A67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7A67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7A673" w:themeFill="accent6"/>
      </w:tcPr>
    </w:tblStylePr>
    <w:tblStylePr w:type="band1Vert">
      <w:tblPr/>
      <w:tcPr>
        <w:shd w:val="clear" w:color="auto" w:fill="8EEFCC" w:themeFill="accent6" w:themeFillTint="66"/>
      </w:tcPr>
    </w:tblStylePr>
    <w:tblStylePr w:type="band1Horz">
      <w:tblPr/>
      <w:tcPr>
        <w:shd w:val="clear" w:color="auto" w:fill="8EEFCC" w:themeFill="accent6" w:themeFillTint="66"/>
      </w:tcPr>
    </w:tblStylePr>
  </w:style>
  <w:style w:type="table" w:styleId="GridTable6Colorful">
    <w:name w:val="Grid Table 6 Colorful"/>
    <w:basedOn w:val="TableNormal"/>
    <w:rsid w:val="00DC0A7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rsid w:val="00DC0A72"/>
    <w:pPr>
      <w:spacing w:after="0" w:line="240" w:lineRule="auto"/>
    </w:pPr>
    <w:rPr>
      <w:color w:val="081E36" w:themeColor="accent1" w:themeShade="BF"/>
    </w:rPr>
    <w:tblPr>
      <w:tblStyleRowBandSize w:val="1"/>
      <w:tblStyleColBandSize w:val="1"/>
      <w:tblBorders>
        <w:top w:val="single" w:sz="4" w:space="0" w:color="217BDD" w:themeColor="accent1" w:themeTint="99"/>
        <w:left w:val="single" w:sz="4" w:space="0" w:color="217BDD" w:themeColor="accent1" w:themeTint="99"/>
        <w:bottom w:val="single" w:sz="4" w:space="0" w:color="217BDD" w:themeColor="accent1" w:themeTint="99"/>
        <w:right w:val="single" w:sz="4" w:space="0" w:color="217BDD" w:themeColor="accent1" w:themeTint="99"/>
        <w:insideH w:val="single" w:sz="4" w:space="0" w:color="217BDD" w:themeColor="accent1" w:themeTint="99"/>
        <w:insideV w:val="single" w:sz="4" w:space="0" w:color="217BDD" w:themeColor="accent1" w:themeTint="99"/>
      </w:tblBorders>
    </w:tblPr>
    <w:tblStylePr w:type="firstRow">
      <w:rPr>
        <w:b/>
        <w:bCs/>
      </w:rPr>
      <w:tblPr/>
      <w:tcPr>
        <w:tcBorders>
          <w:bottom w:val="single" w:sz="12" w:space="0" w:color="217BDD" w:themeColor="accent1" w:themeTint="99"/>
        </w:tcBorders>
      </w:tcPr>
    </w:tblStylePr>
    <w:tblStylePr w:type="lastRow">
      <w:rPr>
        <w:b/>
        <w:bCs/>
      </w:rPr>
      <w:tblPr/>
      <w:tcPr>
        <w:tcBorders>
          <w:top w:val="double" w:sz="4" w:space="0" w:color="217BDD" w:themeColor="accent1" w:themeTint="99"/>
        </w:tcBorders>
      </w:tc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table" w:styleId="GridTable6Colorful-Accent2">
    <w:name w:val="Grid Table 6 Colorful Accent 2"/>
    <w:basedOn w:val="TableNormal"/>
    <w:rsid w:val="00DC0A72"/>
    <w:pPr>
      <w:spacing w:after="0" w:line="240" w:lineRule="auto"/>
    </w:pPr>
    <w:rPr>
      <w:color w:val="9B201D" w:themeColor="accent2" w:themeShade="BF"/>
    </w:rPr>
    <w:tblPr>
      <w:tblStyleRowBandSize w:val="1"/>
      <w:tblStyleColBandSize w:val="1"/>
      <w:tblBorders>
        <w:top w:val="single" w:sz="4" w:space="0" w:color="E67C79" w:themeColor="accent2" w:themeTint="99"/>
        <w:left w:val="single" w:sz="4" w:space="0" w:color="E67C79" w:themeColor="accent2" w:themeTint="99"/>
        <w:bottom w:val="single" w:sz="4" w:space="0" w:color="E67C79" w:themeColor="accent2" w:themeTint="99"/>
        <w:right w:val="single" w:sz="4" w:space="0" w:color="E67C79" w:themeColor="accent2" w:themeTint="99"/>
        <w:insideH w:val="single" w:sz="4" w:space="0" w:color="E67C79" w:themeColor="accent2" w:themeTint="99"/>
        <w:insideV w:val="single" w:sz="4" w:space="0" w:color="E67C79" w:themeColor="accent2" w:themeTint="99"/>
      </w:tblBorders>
    </w:tblPr>
    <w:tblStylePr w:type="firstRow">
      <w:rPr>
        <w:b/>
        <w:bCs/>
      </w:rPr>
      <w:tblPr/>
      <w:tcPr>
        <w:tcBorders>
          <w:bottom w:val="single" w:sz="12" w:space="0" w:color="E67C79" w:themeColor="accent2" w:themeTint="99"/>
        </w:tcBorders>
      </w:tcPr>
    </w:tblStylePr>
    <w:tblStylePr w:type="lastRow">
      <w:rPr>
        <w:b/>
        <w:bCs/>
      </w:rPr>
      <w:tblPr/>
      <w:tcPr>
        <w:tcBorders>
          <w:top w:val="double" w:sz="4" w:space="0" w:color="E67C79" w:themeColor="accent2" w:themeTint="99"/>
        </w:tcBorders>
      </w:tc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GridTable6Colorful-Accent3">
    <w:name w:val="Grid Table 6 Colorful Accent 3"/>
    <w:basedOn w:val="TableNormal"/>
    <w:rsid w:val="00DC0A72"/>
    <w:pPr>
      <w:spacing w:after="0" w:line="240" w:lineRule="auto"/>
    </w:pPr>
    <w:rPr>
      <w:color w:val="444D54" w:themeColor="accent3" w:themeShade="BF"/>
    </w:rPr>
    <w:tblPr>
      <w:tblStyleRowBandSize w:val="1"/>
      <w:tblStyleColBandSize w:val="1"/>
      <w:tblBorders>
        <w:top w:val="single" w:sz="4" w:space="0" w:color="99A4AD" w:themeColor="accent3" w:themeTint="99"/>
        <w:left w:val="single" w:sz="4" w:space="0" w:color="99A4AD" w:themeColor="accent3" w:themeTint="99"/>
        <w:bottom w:val="single" w:sz="4" w:space="0" w:color="99A4AD" w:themeColor="accent3" w:themeTint="99"/>
        <w:right w:val="single" w:sz="4" w:space="0" w:color="99A4AD" w:themeColor="accent3" w:themeTint="99"/>
        <w:insideH w:val="single" w:sz="4" w:space="0" w:color="99A4AD" w:themeColor="accent3" w:themeTint="99"/>
        <w:insideV w:val="single" w:sz="4" w:space="0" w:color="99A4AD" w:themeColor="accent3" w:themeTint="99"/>
      </w:tblBorders>
    </w:tblPr>
    <w:tblStylePr w:type="firstRow">
      <w:rPr>
        <w:b/>
        <w:bCs/>
      </w:rPr>
      <w:tblPr/>
      <w:tcPr>
        <w:tcBorders>
          <w:bottom w:val="single" w:sz="12" w:space="0" w:color="99A4AD" w:themeColor="accent3" w:themeTint="99"/>
        </w:tcBorders>
      </w:tcPr>
    </w:tblStylePr>
    <w:tblStylePr w:type="lastRow">
      <w:rPr>
        <w:b/>
        <w:bCs/>
      </w:rPr>
      <w:tblPr/>
      <w:tcPr>
        <w:tcBorders>
          <w:top w:val="double" w:sz="4" w:space="0" w:color="99A4AD" w:themeColor="accent3" w:themeTint="99"/>
        </w:tcBorders>
      </w:tc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GridTable6Colorful-Accent4">
    <w:name w:val="Grid Table 6 Colorful Accent 4"/>
    <w:basedOn w:val="TableNormal"/>
    <w:rsid w:val="00DC0A72"/>
    <w:pPr>
      <w:spacing w:after="0" w:line="240" w:lineRule="auto"/>
    </w:pPr>
    <w:rPr>
      <w:color w:val="BD8B0B" w:themeColor="accent4" w:themeShade="BF"/>
    </w:rPr>
    <w:tblPr>
      <w:tblStyleRowBandSize w:val="1"/>
      <w:tblStyleColBandSize w:val="1"/>
      <w:tblBorders>
        <w:top w:val="single" w:sz="4" w:space="0" w:color="F6D276" w:themeColor="accent4" w:themeTint="99"/>
        <w:left w:val="single" w:sz="4" w:space="0" w:color="F6D276" w:themeColor="accent4" w:themeTint="99"/>
        <w:bottom w:val="single" w:sz="4" w:space="0" w:color="F6D276" w:themeColor="accent4" w:themeTint="99"/>
        <w:right w:val="single" w:sz="4" w:space="0" w:color="F6D276" w:themeColor="accent4" w:themeTint="99"/>
        <w:insideH w:val="single" w:sz="4" w:space="0" w:color="F6D276" w:themeColor="accent4" w:themeTint="99"/>
        <w:insideV w:val="single" w:sz="4" w:space="0" w:color="F6D276" w:themeColor="accent4" w:themeTint="99"/>
      </w:tblBorders>
    </w:tblPr>
    <w:tblStylePr w:type="firstRow">
      <w:rPr>
        <w:b/>
        <w:bCs/>
      </w:rPr>
      <w:tblPr/>
      <w:tcPr>
        <w:tcBorders>
          <w:bottom w:val="single" w:sz="12" w:space="0" w:color="F6D276" w:themeColor="accent4" w:themeTint="99"/>
        </w:tcBorders>
      </w:tcPr>
    </w:tblStylePr>
    <w:tblStylePr w:type="lastRow">
      <w:rPr>
        <w:b/>
        <w:bCs/>
      </w:rPr>
      <w:tblPr/>
      <w:tcPr>
        <w:tcBorders>
          <w:top w:val="double" w:sz="4" w:space="0" w:color="F6D276" w:themeColor="accent4" w:themeTint="99"/>
        </w:tcBorders>
      </w:tc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GridTable6Colorful-Accent5">
    <w:name w:val="Grid Table 6 Colorful Accent 5"/>
    <w:basedOn w:val="TableNormal"/>
    <w:rsid w:val="00DC0A72"/>
    <w:pPr>
      <w:spacing w:after="0" w:line="240" w:lineRule="auto"/>
    </w:pPr>
    <w:rPr>
      <w:color w:val="126D6E" w:themeColor="accent5" w:themeShade="BF"/>
    </w:rPr>
    <w:tblPr>
      <w:tblStyleRowBandSize w:val="1"/>
      <w:tblStyleColBandSize w:val="1"/>
      <w:tblBorders>
        <w:top w:val="single" w:sz="4" w:space="0" w:color="50E1E2" w:themeColor="accent5" w:themeTint="99"/>
        <w:left w:val="single" w:sz="4" w:space="0" w:color="50E1E2" w:themeColor="accent5" w:themeTint="99"/>
        <w:bottom w:val="single" w:sz="4" w:space="0" w:color="50E1E2" w:themeColor="accent5" w:themeTint="99"/>
        <w:right w:val="single" w:sz="4" w:space="0" w:color="50E1E2" w:themeColor="accent5" w:themeTint="99"/>
        <w:insideH w:val="single" w:sz="4" w:space="0" w:color="50E1E2" w:themeColor="accent5" w:themeTint="99"/>
        <w:insideV w:val="single" w:sz="4" w:space="0" w:color="50E1E2" w:themeColor="accent5" w:themeTint="99"/>
      </w:tblBorders>
    </w:tblPr>
    <w:tblStylePr w:type="firstRow">
      <w:rPr>
        <w:b/>
        <w:bCs/>
      </w:rPr>
      <w:tblPr/>
      <w:tcPr>
        <w:tcBorders>
          <w:bottom w:val="single" w:sz="12" w:space="0" w:color="50E1E2" w:themeColor="accent5" w:themeTint="99"/>
        </w:tcBorders>
      </w:tcPr>
    </w:tblStylePr>
    <w:tblStylePr w:type="lastRow">
      <w:rPr>
        <w:b/>
        <w:bCs/>
      </w:rPr>
      <w:tblPr/>
      <w:tcPr>
        <w:tcBorders>
          <w:top w:val="double" w:sz="4" w:space="0" w:color="50E1E2" w:themeColor="accent5" w:themeTint="99"/>
        </w:tcBorders>
      </w:tc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GridTable6Colorful-Accent6">
    <w:name w:val="Grid Table 6 Colorful Accent 6"/>
    <w:basedOn w:val="TableNormal"/>
    <w:rsid w:val="00DC0A72"/>
    <w:pPr>
      <w:spacing w:after="0" w:line="240" w:lineRule="auto"/>
    </w:pPr>
    <w:rPr>
      <w:color w:val="117C55" w:themeColor="accent6" w:themeShade="BF"/>
    </w:rPr>
    <w:tblPr>
      <w:tblStyleRowBandSize w:val="1"/>
      <w:tblStyleColBandSize w:val="1"/>
      <w:tblBorders>
        <w:top w:val="single" w:sz="4" w:space="0" w:color="55E7B3" w:themeColor="accent6" w:themeTint="99"/>
        <w:left w:val="single" w:sz="4" w:space="0" w:color="55E7B3" w:themeColor="accent6" w:themeTint="99"/>
        <w:bottom w:val="single" w:sz="4" w:space="0" w:color="55E7B3" w:themeColor="accent6" w:themeTint="99"/>
        <w:right w:val="single" w:sz="4" w:space="0" w:color="55E7B3" w:themeColor="accent6" w:themeTint="99"/>
        <w:insideH w:val="single" w:sz="4" w:space="0" w:color="55E7B3" w:themeColor="accent6" w:themeTint="99"/>
        <w:insideV w:val="single" w:sz="4" w:space="0" w:color="55E7B3" w:themeColor="accent6" w:themeTint="99"/>
      </w:tblBorders>
    </w:tblPr>
    <w:tblStylePr w:type="firstRow">
      <w:rPr>
        <w:b/>
        <w:bCs/>
      </w:rPr>
      <w:tblPr/>
      <w:tcPr>
        <w:tcBorders>
          <w:bottom w:val="single" w:sz="12" w:space="0" w:color="55E7B3" w:themeColor="accent6" w:themeTint="99"/>
        </w:tcBorders>
      </w:tcPr>
    </w:tblStylePr>
    <w:tblStylePr w:type="lastRow">
      <w:rPr>
        <w:b/>
        <w:bCs/>
      </w:rPr>
      <w:tblPr/>
      <w:tcPr>
        <w:tcBorders>
          <w:top w:val="double" w:sz="4" w:space="0" w:color="55E7B3" w:themeColor="accent6" w:themeTint="99"/>
        </w:tcBorders>
      </w:tc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GridTable7Colorful">
    <w:name w:val="Grid Table 7 Colorful"/>
    <w:basedOn w:val="TableNormal"/>
    <w:rsid w:val="00DC0A7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rsid w:val="00DC0A72"/>
    <w:pPr>
      <w:spacing w:after="0" w:line="240" w:lineRule="auto"/>
    </w:pPr>
    <w:rPr>
      <w:color w:val="081E36" w:themeColor="accent1" w:themeShade="BF"/>
    </w:rPr>
    <w:tblPr>
      <w:tblStyleRowBandSize w:val="1"/>
      <w:tblStyleColBandSize w:val="1"/>
      <w:tblBorders>
        <w:top w:val="single" w:sz="4" w:space="0" w:color="217BDD" w:themeColor="accent1" w:themeTint="99"/>
        <w:left w:val="single" w:sz="4" w:space="0" w:color="217BDD" w:themeColor="accent1" w:themeTint="99"/>
        <w:bottom w:val="single" w:sz="4" w:space="0" w:color="217BDD" w:themeColor="accent1" w:themeTint="99"/>
        <w:right w:val="single" w:sz="4" w:space="0" w:color="217BDD" w:themeColor="accent1" w:themeTint="99"/>
        <w:insideH w:val="single" w:sz="4" w:space="0" w:color="217BDD" w:themeColor="accent1" w:themeTint="99"/>
        <w:insideV w:val="single" w:sz="4" w:space="0" w:color="217BD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4D3F3" w:themeFill="accent1" w:themeFillTint="33"/>
      </w:tcPr>
    </w:tblStylePr>
    <w:tblStylePr w:type="band1Horz">
      <w:tblPr/>
      <w:tcPr>
        <w:shd w:val="clear" w:color="auto" w:fill="B4D3F3" w:themeFill="accent1" w:themeFillTint="33"/>
      </w:tcPr>
    </w:tblStylePr>
    <w:tblStylePr w:type="neCell">
      <w:tblPr/>
      <w:tcPr>
        <w:tcBorders>
          <w:bottom w:val="single" w:sz="4" w:space="0" w:color="217BDD" w:themeColor="accent1" w:themeTint="99"/>
        </w:tcBorders>
      </w:tcPr>
    </w:tblStylePr>
    <w:tblStylePr w:type="nwCell">
      <w:tblPr/>
      <w:tcPr>
        <w:tcBorders>
          <w:bottom w:val="single" w:sz="4" w:space="0" w:color="217BDD" w:themeColor="accent1" w:themeTint="99"/>
        </w:tcBorders>
      </w:tcPr>
    </w:tblStylePr>
    <w:tblStylePr w:type="seCell">
      <w:tblPr/>
      <w:tcPr>
        <w:tcBorders>
          <w:top w:val="single" w:sz="4" w:space="0" w:color="217BDD" w:themeColor="accent1" w:themeTint="99"/>
        </w:tcBorders>
      </w:tcPr>
    </w:tblStylePr>
    <w:tblStylePr w:type="swCell">
      <w:tblPr/>
      <w:tcPr>
        <w:tcBorders>
          <w:top w:val="single" w:sz="4" w:space="0" w:color="217BDD" w:themeColor="accent1" w:themeTint="99"/>
        </w:tcBorders>
      </w:tcPr>
    </w:tblStylePr>
  </w:style>
  <w:style w:type="table" w:styleId="GridTable7Colorful-Accent2">
    <w:name w:val="Grid Table 7 Colorful Accent 2"/>
    <w:basedOn w:val="TableNormal"/>
    <w:rsid w:val="00DC0A72"/>
    <w:pPr>
      <w:spacing w:after="0" w:line="240" w:lineRule="auto"/>
    </w:pPr>
    <w:rPr>
      <w:color w:val="9B201D" w:themeColor="accent2" w:themeShade="BF"/>
    </w:rPr>
    <w:tblPr>
      <w:tblStyleRowBandSize w:val="1"/>
      <w:tblStyleColBandSize w:val="1"/>
      <w:tblBorders>
        <w:top w:val="single" w:sz="4" w:space="0" w:color="E67C79" w:themeColor="accent2" w:themeTint="99"/>
        <w:left w:val="single" w:sz="4" w:space="0" w:color="E67C79" w:themeColor="accent2" w:themeTint="99"/>
        <w:bottom w:val="single" w:sz="4" w:space="0" w:color="E67C79" w:themeColor="accent2" w:themeTint="99"/>
        <w:right w:val="single" w:sz="4" w:space="0" w:color="E67C79" w:themeColor="accent2" w:themeTint="99"/>
        <w:insideH w:val="single" w:sz="4" w:space="0" w:color="E67C79" w:themeColor="accent2" w:themeTint="99"/>
        <w:insideV w:val="single" w:sz="4" w:space="0" w:color="E67C7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6D3D2" w:themeFill="accent2" w:themeFillTint="33"/>
      </w:tcPr>
    </w:tblStylePr>
    <w:tblStylePr w:type="band1Horz">
      <w:tblPr/>
      <w:tcPr>
        <w:shd w:val="clear" w:color="auto" w:fill="F6D3D2" w:themeFill="accent2" w:themeFillTint="33"/>
      </w:tcPr>
    </w:tblStylePr>
    <w:tblStylePr w:type="neCell">
      <w:tblPr/>
      <w:tcPr>
        <w:tcBorders>
          <w:bottom w:val="single" w:sz="4" w:space="0" w:color="E67C79" w:themeColor="accent2" w:themeTint="99"/>
        </w:tcBorders>
      </w:tcPr>
    </w:tblStylePr>
    <w:tblStylePr w:type="nwCell">
      <w:tblPr/>
      <w:tcPr>
        <w:tcBorders>
          <w:bottom w:val="single" w:sz="4" w:space="0" w:color="E67C79" w:themeColor="accent2" w:themeTint="99"/>
        </w:tcBorders>
      </w:tcPr>
    </w:tblStylePr>
    <w:tblStylePr w:type="seCell">
      <w:tblPr/>
      <w:tcPr>
        <w:tcBorders>
          <w:top w:val="single" w:sz="4" w:space="0" w:color="E67C79" w:themeColor="accent2" w:themeTint="99"/>
        </w:tcBorders>
      </w:tcPr>
    </w:tblStylePr>
    <w:tblStylePr w:type="swCell">
      <w:tblPr/>
      <w:tcPr>
        <w:tcBorders>
          <w:top w:val="single" w:sz="4" w:space="0" w:color="E67C79" w:themeColor="accent2" w:themeTint="99"/>
        </w:tcBorders>
      </w:tcPr>
    </w:tblStylePr>
  </w:style>
  <w:style w:type="table" w:styleId="GridTable7Colorful-Accent3">
    <w:name w:val="Grid Table 7 Colorful Accent 3"/>
    <w:basedOn w:val="TableNormal"/>
    <w:rsid w:val="00DC0A72"/>
    <w:pPr>
      <w:spacing w:after="0" w:line="240" w:lineRule="auto"/>
    </w:pPr>
    <w:rPr>
      <w:color w:val="444D54" w:themeColor="accent3" w:themeShade="BF"/>
    </w:rPr>
    <w:tblPr>
      <w:tblStyleRowBandSize w:val="1"/>
      <w:tblStyleColBandSize w:val="1"/>
      <w:tblBorders>
        <w:top w:val="single" w:sz="4" w:space="0" w:color="99A4AD" w:themeColor="accent3" w:themeTint="99"/>
        <w:left w:val="single" w:sz="4" w:space="0" w:color="99A4AD" w:themeColor="accent3" w:themeTint="99"/>
        <w:bottom w:val="single" w:sz="4" w:space="0" w:color="99A4AD" w:themeColor="accent3" w:themeTint="99"/>
        <w:right w:val="single" w:sz="4" w:space="0" w:color="99A4AD" w:themeColor="accent3" w:themeTint="99"/>
        <w:insideH w:val="single" w:sz="4" w:space="0" w:color="99A4AD" w:themeColor="accent3" w:themeTint="99"/>
        <w:insideV w:val="single" w:sz="4" w:space="0" w:color="99A4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E0E3" w:themeFill="accent3" w:themeFillTint="33"/>
      </w:tcPr>
    </w:tblStylePr>
    <w:tblStylePr w:type="band1Horz">
      <w:tblPr/>
      <w:tcPr>
        <w:shd w:val="clear" w:color="auto" w:fill="DDE0E3" w:themeFill="accent3" w:themeFillTint="33"/>
      </w:tcPr>
    </w:tblStylePr>
    <w:tblStylePr w:type="neCell">
      <w:tblPr/>
      <w:tcPr>
        <w:tcBorders>
          <w:bottom w:val="single" w:sz="4" w:space="0" w:color="99A4AD" w:themeColor="accent3" w:themeTint="99"/>
        </w:tcBorders>
      </w:tcPr>
    </w:tblStylePr>
    <w:tblStylePr w:type="nwCell">
      <w:tblPr/>
      <w:tcPr>
        <w:tcBorders>
          <w:bottom w:val="single" w:sz="4" w:space="0" w:color="99A4AD" w:themeColor="accent3" w:themeTint="99"/>
        </w:tcBorders>
      </w:tcPr>
    </w:tblStylePr>
    <w:tblStylePr w:type="seCell">
      <w:tblPr/>
      <w:tcPr>
        <w:tcBorders>
          <w:top w:val="single" w:sz="4" w:space="0" w:color="99A4AD" w:themeColor="accent3" w:themeTint="99"/>
        </w:tcBorders>
      </w:tcPr>
    </w:tblStylePr>
    <w:tblStylePr w:type="swCell">
      <w:tblPr/>
      <w:tcPr>
        <w:tcBorders>
          <w:top w:val="single" w:sz="4" w:space="0" w:color="99A4AD" w:themeColor="accent3" w:themeTint="99"/>
        </w:tcBorders>
      </w:tcPr>
    </w:tblStylePr>
  </w:style>
  <w:style w:type="table" w:styleId="GridTable7Colorful-Accent4">
    <w:name w:val="Grid Table 7 Colorful Accent 4"/>
    <w:basedOn w:val="TableNormal"/>
    <w:rsid w:val="00DC0A72"/>
    <w:pPr>
      <w:spacing w:after="0" w:line="240" w:lineRule="auto"/>
    </w:pPr>
    <w:rPr>
      <w:color w:val="BD8B0B" w:themeColor="accent4" w:themeShade="BF"/>
    </w:rPr>
    <w:tblPr>
      <w:tblStyleRowBandSize w:val="1"/>
      <w:tblStyleColBandSize w:val="1"/>
      <w:tblBorders>
        <w:top w:val="single" w:sz="4" w:space="0" w:color="F6D276" w:themeColor="accent4" w:themeTint="99"/>
        <w:left w:val="single" w:sz="4" w:space="0" w:color="F6D276" w:themeColor="accent4" w:themeTint="99"/>
        <w:bottom w:val="single" w:sz="4" w:space="0" w:color="F6D276" w:themeColor="accent4" w:themeTint="99"/>
        <w:right w:val="single" w:sz="4" w:space="0" w:color="F6D276" w:themeColor="accent4" w:themeTint="99"/>
        <w:insideH w:val="single" w:sz="4" w:space="0" w:color="F6D276" w:themeColor="accent4" w:themeTint="99"/>
        <w:insideV w:val="single" w:sz="4" w:space="0" w:color="F6D27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0D1" w:themeFill="accent4" w:themeFillTint="33"/>
      </w:tcPr>
    </w:tblStylePr>
    <w:tblStylePr w:type="band1Horz">
      <w:tblPr/>
      <w:tcPr>
        <w:shd w:val="clear" w:color="auto" w:fill="FCF0D1" w:themeFill="accent4" w:themeFillTint="33"/>
      </w:tcPr>
    </w:tblStylePr>
    <w:tblStylePr w:type="neCell">
      <w:tblPr/>
      <w:tcPr>
        <w:tcBorders>
          <w:bottom w:val="single" w:sz="4" w:space="0" w:color="F6D276" w:themeColor="accent4" w:themeTint="99"/>
        </w:tcBorders>
      </w:tcPr>
    </w:tblStylePr>
    <w:tblStylePr w:type="nwCell">
      <w:tblPr/>
      <w:tcPr>
        <w:tcBorders>
          <w:bottom w:val="single" w:sz="4" w:space="0" w:color="F6D276" w:themeColor="accent4" w:themeTint="99"/>
        </w:tcBorders>
      </w:tcPr>
    </w:tblStylePr>
    <w:tblStylePr w:type="seCell">
      <w:tblPr/>
      <w:tcPr>
        <w:tcBorders>
          <w:top w:val="single" w:sz="4" w:space="0" w:color="F6D276" w:themeColor="accent4" w:themeTint="99"/>
        </w:tcBorders>
      </w:tcPr>
    </w:tblStylePr>
    <w:tblStylePr w:type="swCell">
      <w:tblPr/>
      <w:tcPr>
        <w:tcBorders>
          <w:top w:val="single" w:sz="4" w:space="0" w:color="F6D276" w:themeColor="accent4" w:themeTint="99"/>
        </w:tcBorders>
      </w:tcPr>
    </w:tblStylePr>
  </w:style>
  <w:style w:type="table" w:styleId="GridTable7Colorful-Accent5">
    <w:name w:val="Grid Table 7 Colorful Accent 5"/>
    <w:basedOn w:val="TableNormal"/>
    <w:rsid w:val="00DC0A72"/>
    <w:pPr>
      <w:spacing w:after="0" w:line="240" w:lineRule="auto"/>
    </w:pPr>
    <w:rPr>
      <w:color w:val="126D6E" w:themeColor="accent5" w:themeShade="BF"/>
    </w:rPr>
    <w:tblPr>
      <w:tblStyleRowBandSize w:val="1"/>
      <w:tblStyleColBandSize w:val="1"/>
      <w:tblBorders>
        <w:top w:val="single" w:sz="4" w:space="0" w:color="50E1E2" w:themeColor="accent5" w:themeTint="99"/>
        <w:left w:val="single" w:sz="4" w:space="0" w:color="50E1E2" w:themeColor="accent5" w:themeTint="99"/>
        <w:bottom w:val="single" w:sz="4" w:space="0" w:color="50E1E2" w:themeColor="accent5" w:themeTint="99"/>
        <w:right w:val="single" w:sz="4" w:space="0" w:color="50E1E2" w:themeColor="accent5" w:themeTint="99"/>
        <w:insideH w:val="single" w:sz="4" w:space="0" w:color="50E1E2" w:themeColor="accent5" w:themeTint="99"/>
        <w:insideV w:val="single" w:sz="4" w:space="0" w:color="50E1E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4F5F5" w:themeFill="accent5" w:themeFillTint="33"/>
      </w:tcPr>
    </w:tblStylePr>
    <w:tblStylePr w:type="band1Horz">
      <w:tblPr/>
      <w:tcPr>
        <w:shd w:val="clear" w:color="auto" w:fill="C4F5F5" w:themeFill="accent5" w:themeFillTint="33"/>
      </w:tcPr>
    </w:tblStylePr>
    <w:tblStylePr w:type="neCell">
      <w:tblPr/>
      <w:tcPr>
        <w:tcBorders>
          <w:bottom w:val="single" w:sz="4" w:space="0" w:color="50E1E2" w:themeColor="accent5" w:themeTint="99"/>
        </w:tcBorders>
      </w:tcPr>
    </w:tblStylePr>
    <w:tblStylePr w:type="nwCell">
      <w:tblPr/>
      <w:tcPr>
        <w:tcBorders>
          <w:bottom w:val="single" w:sz="4" w:space="0" w:color="50E1E2" w:themeColor="accent5" w:themeTint="99"/>
        </w:tcBorders>
      </w:tcPr>
    </w:tblStylePr>
    <w:tblStylePr w:type="seCell">
      <w:tblPr/>
      <w:tcPr>
        <w:tcBorders>
          <w:top w:val="single" w:sz="4" w:space="0" w:color="50E1E2" w:themeColor="accent5" w:themeTint="99"/>
        </w:tcBorders>
      </w:tcPr>
    </w:tblStylePr>
    <w:tblStylePr w:type="swCell">
      <w:tblPr/>
      <w:tcPr>
        <w:tcBorders>
          <w:top w:val="single" w:sz="4" w:space="0" w:color="50E1E2" w:themeColor="accent5" w:themeTint="99"/>
        </w:tcBorders>
      </w:tcPr>
    </w:tblStylePr>
  </w:style>
  <w:style w:type="table" w:styleId="GridTable7Colorful-Accent6">
    <w:name w:val="Grid Table 7 Colorful Accent 6"/>
    <w:basedOn w:val="TableNormal"/>
    <w:rsid w:val="00DC0A72"/>
    <w:pPr>
      <w:spacing w:after="0" w:line="240" w:lineRule="auto"/>
    </w:pPr>
    <w:rPr>
      <w:color w:val="117C55" w:themeColor="accent6" w:themeShade="BF"/>
    </w:rPr>
    <w:tblPr>
      <w:tblStyleRowBandSize w:val="1"/>
      <w:tblStyleColBandSize w:val="1"/>
      <w:tblBorders>
        <w:top w:val="single" w:sz="4" w:space="0" w:color="55E7B3" w:themeColor="accent6" w:themeTint="99"/>
        <w:left w:val="single" w:sz="4" w:space="0" w:color="55E7B3" w:themeColor="accent6" w:themeTint="99"/>
        <w:bottom w:val="single" w:sz="4" w:space="0" w:color="55E7B3" w:themeColor="accent6" w:themeTint="99"/>
        <w:right w:val="single" w:sz="4" w:space="0" w:color="55E7B3" w:themeColor="accent6" w:themeTint="99"/>
        <w:insideH w:val="single" w:sz="4" w:space="0" w:color="55E7B3" w:themeColor="accent6" w:themeTint="99"/>
        <w:insideV w:val="single" w:sz="4" w:space="0" w:color="55E7B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7E5" w:themeFill="accent6" w:themeFillTint="33"/>
      </w:tcPr>
    </w:tblStylePr>
    <w:tblStylePr w:type="band1Horz">
      <w:tblPr/>
      <w:tcPr>
        <w:shd w:val="clear" w:color="auto" w:fill="C6F7E5" w:themeFill="accent6" w:themeFillTint="33"/>
      </w:tcPr>
    </w:tblStylePr>
    <w:tblStylePr w:type="neCell">
      <w:tblPr/>
      <w:tcPr>
        <w:tcBorders>
          <w:bottom w:val="single" w:sz="4" w:space="0" w:color="55E7B3" w:themeColor="accent6" w:themeTint="99"/>
        </w:tcBorders>
      </w:tcPr>
    </w:tblStylePr>
    <w:tblStylePr w:type="nwCell">
      <w:tblPr/>
      <w:tcPr>
        <w:tcBorders>
          <w:bottom w:val="single" w:sz="4" w:space="0" w:color="55E7B3" w:themeColor="accent6" w:themeTint="99"/>
        </w:tcBorders>
      </w:tcPr>
    </w:tblStylePr>
    <w:tblStylePr w:type="seCell">
      <w:tblPr/>
      <w:tcPr>
        <w:tcBorders>
          <w:top w:val="single" w:sz="4" w:space="0" w:color="55E7B3" w:themeColor="accent6" w:themeTint="99"/>
        </w:tcBorders>
      </w:tcPr>
    </w:tblStylePr>
    <w:tblStylePr w:type="swCell">
      <w:tblPr/>
      <w:tcPr>
        <w:tcBorders>
          <w:top w:val="single" w:sz="4" w:space="0" w:color="55E7B3" w:themeColor="accent6" w:themeTint="99"/>
        </w:tcBorders>
      </w:tcPr>
    </w:tblStylePr>
  </w:style>
  <w:style w:type="character" w:styleId="Hashtag">
    <w:name w:val="Hashtag"/>
    <w:basedOn w:val="DefaultParagraphFont"/>
    <w:semiHidden/>
    <w:rsid w:val="00DC0A72"/>
    <w:rPr>
      <w:color w:val="2B579A"/>
      <w:shd w:val="clear" w:color="auto" w:fill="E1DFDD"/>
    </w:rPr>
  </w:style>
  <w:style w:type="character" w:styleId="HTMLAcronym">
    <w:name w:val="HTML Acronym"/>
    <w:basedOn w:val="DefaultParagraphFont"/>
    <w:semiHidden/>
    <w:rsid w:val="00DC0A72"/>
  </w:style>
  <w:style w:type="paragraph" w:styleId="HTMLAddress">
    <w:name w:val="HTML Address"/>
    <w:basedOn w:val="Normal"/>
    <w:link w:val="HTMLAddressChar"/>
    <w:semiHidden/>
    <w:rsid w:val="00DC0A72"/>
    <w:pPr>
      <w:spacing w:after="0" w:line="240" w:lineRule="auto"/>
    </w:pPr>
    <w:rPr>
      <w:i/>
      <w:iCs/>
    </w:rPr>
  </w:style>
  <w:style w:type="character" w:customStyle="1" w:styleId="HTMLAddressChar">
    <w:name w:val="HTML Address Char"/>
    <w:basedOn w:val="DefaultParagraphFont"/>
    <w:link w:val="HTMLAddress"/>
    <w:semiHidden/>
    <w:rsid w:val="00DC0A72"/>
    <w:rPr>
      <w:i/>
      <w:iCs/>
      <w:sz w:val="20"/>
    </w:rPr>
  </w:style>
  <w:style w:type="character" w:styleId="HTMLCite">
    <w:name w:val="HTML Cite"/>
    <w:basedOn w:val="DefaultParagraphFont"/>
    <w:semiHidden/>
    <w:rsid w:val="00DC0A72"/>
    <w:rPr>
      <w:i/>
      <w:iCs/>
    </w:rPr>
  </w:style>
  <w:style w:type="character" w:styleId="HTMLCode">
    <w:name w:val="HTML Code"/>
    <w:basedOn w:val="DefaultParagraphFont"/>
    <w:semiHidden/>
    <w:rsid w:val="00DC0A72"/>
    <w:rPr>
      <w:rFonts w:ascii="Consolas" w:hAnsi="Consolas"/>
      <w:sz w:val="20"/>
      <w:szCs w:val="20"/>
    </w:rPr>
  </w:style>
  <w:style w:type="character" w:styleId="HTMLDefinition">
    <w:name w:val="HTML Definition"/>
    <w:basedOn w:val="DefaultParagraphFont"/>
    <w:semiHidden/>
    <w:rsid w:val="00DC0A72"/>
    <w:rPr>
      <w:i/>
      <w:iCs/>
    </w:rPr>
  </w:style>
  <w:style w:type="character" w:styleId="HTMLKeyboard">
    <w:name w:val="HTML Keyboard"/>
    <w:basedOn w:val="DefaultParagraphFont"/>
    <w:semiHidden/>
    <w:rsid w:val="00DC0A72"/>
    <w:rPr>
      <w:rFonts w:ascii="Consolas" w:hAnsi="Consolas"/>
      <w:sz w:val="20"/>
      <w:szCs w:val="20"/>
    </w:rPr>
  </w:style>
  <w:style w:type="paragraph" w:styleId="HTMLPreformatted">
    <w:name w:val="HTML Preformatted"/>
    <w:basedOn w:val="Normal"/>
    <w:link w:val="HTMLPreformattedChar"/>
    <w:semiHidden/>
    <w:rsid w:val="00DC0A72"/>
    <w:pPr>
      <w:spacing w:after="0"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DC0A72"/>
    <w:rPr>
      <w:rFonts w:ascii="Consolas" w:hAnsi="Consolas"/>
      <w:sz w:val="20"/>
      <w:szCs w:val="20"/>
    </w:rPr>
  </w:style>
  <w:style w:type="character" w:styleId="HTMLSample">
    <w:name w:val="HTML Sample"/>
    <w:basedOn w:val="DefaultParagraphFont"/>
    <w:semiHidden/>
    <w:rsid w:val="00DC0A72"/>
    <w:rPr>
      <w:rFonts w:ascii="Consolas" w:hAnsi="Consolas"/>
      <w:sz w:val="24"/>
      <w:szCs w:val="24"/>
    </w:rPr>
  </w:style>
  <w:style w:type="character" w:styleId="HTMLTypewriter">
    <w:name w:val="HTML Typewriter"/>
    <w:basedOn w:val="DefaultParagraphFont"/>
    <w:semiHidden/>
    <w:unhideWhenUsed/>
    <w:rsid w:val="00DC0A72"/>
    <w:rPr>
      <w:rFonts w:ascii="Consolas" w:hAnsi="Consolas"/>
      <w:sz w:val="20"/>
      <w:szCs w:val="20"/>
    </w:rPr>
  </w:style>
  <w:style w:type="character" w:styleId="HTMLVariable">
    <w:name w:val="HTML Variable"/>
    <w:basedOn w:val="DefaultParagraphFont"/>
    <w:semiHidden/>
    <w:unhideWhenUsed/>
    <w:rsid w:val="00DC0A72"/>
    <w:rPr>
      <w:i/>
      <w:iCs/>
    </w:rPr>
  </w:style>
  <w:style w:type="paragraph" w:styleId="Index2">
    <w:name w:val="index 2"/>
    <w:basedOn w:val="Normal"/>
    <w:next w:val="Normal"/>
    <w:autoRedefine/>
    <w:semiHidden/>
    <w:rsid w:val="00DC0A72"/>
    <w:pPr>
      <w:spacing w:after="0" w:line="240" w:lineRule="auto"/>
      <w:ind w:left="440" w:hanging="220"/>
    </w:pPr>
  </w:style>
  <w:style w:type="paragraph" w:styleId="Index3">
    <w:name w:val="index 3"/>
    <w:basedOn w:val="Normal"/>
    <w:next w:val="Normal"/>
    <w:autoRedefine/>
    <w:semiHidden/>
    <w:rsid w:val="00DC0A72"/>
    <w:pPr>
      <w:spacing w:after="0" w:line="240" w:lineRule="auto"/>
      <w:ind w:left="660" w:hanging="220"/>
    </w:pPr>
  </w:style>
  <w:style w:type="paragraph" w:styleId="Index4">
    <w:name w:val="index 4"/>
    <w:basedOn w:val="Normal"/>
    <w:next w:val="Normal"/>
    <w:autoRedefine/>
    <w:semiHidden/>
    <w:rsid w:val="00DC0A72"/>
    <w:pPr>
      <w:spacing w:after="0" w:line="240" w:lineRule="auto"/>
      <w:ind w:left="880" w:hanging="220"/>
    </w:pPr>
  </w:style>
  <w:style w:type="paragraph" w:styleId="Index5">
    <w:name w:val="index 5"/>
    <w:basedOn w:val="Normal"/>
    <w:next w:val="Normal"/>
    <w:autoRedefine/>
    <w:semiHidden/>
    <w:rsid w:val="00DC0A72"/>
    <w:pPr>
      <w:spacing w:after="0" w:line="240" w:lineRule="auto"/>
      <w:ind w:left="1100" w:hanging="220"/>
    </w:pPr>
  </w:style>
  <w:style w:type="paragraph" w:styleId="Index6">
    <w:name w:val="index 6"/>
    <w:basedOn w:val="Normal"/>
    <w:next w:val="Normal"/>
    <w:autoRedefine/>
    <w:semiHidden/>
    <w:rsid w:val="00DC0A72"/>
    <w:pPr>
      <w:spacing w:after="0" w:line="240" w:lineRule="auto"/>
      <w:ind w:left="1320" w:hanging="220"/>
    </w:pPr>
  </w:style>
  <w:style w:type="paragraph" w:styleId="Index7">
    <w:name w:val="index 7"/>
    <w:basedOn w:val="Normal"/>
    <w:next w:val="Normal"/>
    <w:autoRedefine/>
    <w:semiHidden/>
    <w:rsid w:val="00DC0A72"/>
    <w:pPr>
      <w:spacing w:after="0" w:line="240" w:lineRule="auto"/>
      <w:ind w:left="1540" w:hanging="220"/>
    </w:pPr>
  </w:style>
  <w:style w:type="paragraph" w:styleId="Index8">
    <w:name w:val="index 8"/>
    <w:basedOn w:val="Normal"/>
    <w:next w:val="Normal"/>
    <w:autoRedefine/>
    <w:semiHidden/>
    <w:rsid w:val="00DC0A72"/>
    <w:pPr>
      <w:spacing w:after="0" w:line="240" w:lineRule="auto"/>
      <w:ind w:left="1760" w:hanging="220"/>
    </w:pPr>
  </w:style>
  <w:style w:type="paragraph" w:styleId="Index9">
    <w:name w:val="index 9"/>
    <w:basedOn w:val="Normal"/>
    <w:next w:val="Normal"/>
    <w:autoRedefine/>
    <w:semiHidden/>
    <w:rsid w:val="00DC0A72"/>
    <w:pPr>
      <w:spacing w:after="0" w:line="240" w:lineRule="auto"/>
      <w:ind w:left="1980" w:hanging="220"/>
    </w:pPr>
  </w:style>
  <w:style w:type="character" w:styleId="IntenseEmphasis">
    <w:name w:val="Intense Emphasis"/>
    <w:basedOn w:val="DefaultParagraphFont"/>
    <w:semiHidden/>
    <w:rsid w:val="00DC0A72"/>
    <w:rPr>
      <w:i/>
      <w:iCs/>
      <w:color w:val="0B2949" w:themeColor="accent1"/>
    </w:rPr>
  </w:style>
  <w:style w:type="paragraph" w:styleId="IntenseQuote">
    <w:name w:val="Intense Quote"/>
    <w:basedOn w:val="Normal"/>
    <w:next w:val="Normal"/>
    <w:link w:val="IntenseQuoteChar"/>
    <w:semiHidden/>
    <w:rsid w:val="00DC0A72"/>
    <w:pPr>
      <w:pBdr>
        <w:top w:val="single" w:sz="4" w:space="10" w:color="0B2949" w:themeColor="accent1"/>
        <w:bottom w:val="single" w:sz="4" w:space="10" w:color="0B2949" w:themeColor="accent1"/>
      </w:pBdr>
      <w:spacing w:before="360" w:after="360"/>
      <w:ind w:left="864" w:right="864"/>
      <w:jc w:val="center"/>
    </w:pPr>
    <w:rPr>
      <w:i/>
      <w:iCs/>
      <w:color w:val="0B2949" w:themeColor="accent1"/>
    </w:rPr>
  </w:style>
  <w:style w:type="character" w:customStyle="1" w:styleId="IntenseQuoteChar">
    <w:name w:val="Intense Quote Char"/>
    <w:basedOn w:val="DefaultParagraphFont"/>
    <w:link w:val="IntenseQuote"/>
    <w:semiHidden/>
    <w:rsid w:val="00DC0A72"/>
    <w:rPr>
      <w:i/>
      <w:iCs/>
      <w:color w:val="0B2949" w:themeColor="accent1"/>
      <w:sz w:val="20"/>
    </w:rPr>
  </w:style>
  <w:style w:type="character" w:styleId="IntenseReference">
    <w:name w:val="Intense Reference"/>
    <w:basedOn w:val="DefaultParagraphFont"/>
    <w:semiHidden/>
    <w:rsid w:val="00DC0A72"/>
    <w:rPr>
      <w:b/>
      <w:bCs/>
      <w:smallCaps/>
      <w:color w:val="0B2949" w:themeColor="accent1"/>
      <w:spacing w:val="5"/>
    </w:rPr>
  </w:style>
  <w:style w:type="table" w:styleId="LightGrid">
    <w:name w:val="Light Grid"/>
    <w:basedOn w:val="TableNormal"/>
    <w:unhideWhenUsed/>
    <w:rsid w:val="00DC0A7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nhideWhenUsed/>
    <w:rsid w:val="00DC0A72"/>
    <w:pPr>
      <w:spacing w:after="0" w:line="240" w:lineRule="auto"/>
    </w:pPr>
    <w:tblPr>
      <w:tblStyleRowBandSize w:val="1"/>
      <w:tblStyleColBandSize w:val="1"/>
      <w:tblBorders>
        <w:top w:val="single" w:sz="8" w:space="0" w:color="0B2949" w:themeColor="accent1"/>
        <w:left w:val="single" w:sz="8" w:space="0" w:color="0B2949" w:themeColor="accent1"/>
        <w:bottom w:val="single" w:sz="8" w:space="0" w:color="0B2949" w:themeColor="accent1"/>
        <w:right w:val="single" w:sz="8" w:space="0" w:color="0B2949" w:themeColor="accent1"/>
        <w:insideH w:val="single" w:sz="8" w:space="0" w:color="0B2949" w:themeColor="accent1"/>
        <w:insideV w:val="single" w:sz="8" w:space="0" w:color="0B29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B2949" w:themeColor="accent1"/>
          <w:left w:val="single" w:sz="8" w:space="0" w:color="0B2949" w:themeColor="accent1"/>
          <w:bottom w:val="single" w:sz="18" w:space="0" w:color="0B2949" w:themeColor="accent1"/>
          <w:right w:val="single" w:sz="8" w:space="0" w:color="0B2949" w:themeColor="accent1"/>
          <w:insideH w:val="nil"/>
          <w:insideV w:val="single" w:sz="8" w:space="0" w:color="0B29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B2949" w:themeColor="accent1"/>
          <w:left w:val="single" w:sz="8" w:space="0" w:color="0B2949" w:themeColor="accent1"/>
          <w:bottom w:val="single" w:sz="8" w:space="0" w:color="0B2949" w:themeColor="accent1"/>
          <w:right w:val="single" w:sz="8" w:space="0" w:color="0B2949" w:themeColor="accent1"/>
          <w:insideH w:val="nil"/>
          <w:insideV w:val="single" w:sz="8" w:space="0" w:color="0B29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B2949" w:themeColor="accent1"/>
          <w:left w:val="single" w:sz="8" w:space="0" w:color="0B2949" w:themeColor="accent1"/>
          <w:bottom w:val="single" w:sz="8" w:space="0" w:color="0B2949" w:themeColor="accent1"/>
          <w:right w:val="single" w:sz="8" w:space="0" w:color="0B2949" w:themeColor="accent1"/>
        </w:tcBorders>
      </w:tcPr>
    </w:tblStylePr>
    <w:tblStylePr w:type="band1Vert">
      <w:tblPr/>
      <w:tcPr>
        <w:tcBorders>
          <w:top w:val="single" w:sz="8" w:space="0" w:color="0B2949" w:themeColor="accent1"/>
          <w:left w:val="single" w:sz="8" w:space="0" w:color="0B2949" w:themeColor="accent1"/>
          <w:bottom w:val="single" w:sz="8" w:space="0" w:color="0B2949" w:themeColor="accent1"/>
          <w:right w:val="single" w:sz="8" w:space="0" w:color="0B2949" w:themeColor="accent1"/>
        </w:tcBorders>
        <w:shd w:val="clear" w:color="auto" w:fill="A3C8F1" w:themeFill="accent1" w:themeFillTint="3F"/>
      </w:tcPr>
    </w:tblStylePr>
    <w:tblStylePr w:type="band1Horz">
      <w:tblPr/>
      <w:tcPr>
        <w:tcBorders>
          <w:top w:val="single" w:sz="8" w:space="0" w:color="0B2949" w:themeColor="accent1"/>
          <w:left w:val="single" w:sz="8" w:space="0" w:color="0B2949" w:themeColor="accent1"/>
          <w:bottom w:val="single" w:sz="8" w:space="0" w:color="0B2949" w:themeColor="accent1"/>
          <w:right w:val="single" w:sz="8" w:space="0" w:color="0B2949" w:themeColor="accent1"/>
          <w:insideV w:val="single" w:sz="8" w:space="0" w:color="0B2949" w:themeColor="accent1"/>
        </w:tcBorders>
        <w:shd w:val="clear" w:color="auto" w:fill="A3C8F1" w:themeFill="accent1" w:themeFillTint="3F"/>
      </w:tcPr>
    </w:tblStylePr>
    <w:tblStylePr w:type="band2Horz">
      <w:tblPr/>
      <w:tcPr>
        <w:tcBorders>
          <w:top w:val="single" w:sz="8" w:space="0" w:color="0B2949" w:themeColor="accent1"/>
          <w:left w:val="single" w:sz="8" w:space="0" w:color="0B2949" w:themeColor="accent1"/>
          <w:bottom w:val="single" w:sz="8" w:space="0" w:color="0B2949" w:themeColor="accent1"/>
          <w:right w:val="single" w:sz="8" w:space="0" w:color="0B2949" w:themeColor="accent1"/>
          <w:insideV w:val="single" w:sz="8" w:space="0" w:color="0B2949" w:themeColor="accent1"/>
        </w:tcBorders>
      </w:tcPr>
    </w:tblStylePr>
  </w:style>
  <w:style w:type="table" w:styleId="LightGrid-Accent2">
    <w:name w:val="Light Grid Accent 2"/>
    <w:basedOn w:val="TableNormal"/>
    <w:unhideWhenUsed/>
    <w:rsid w:val="00DC0A72"/>
    <w:pPr>
      <w:spacing w:after="0" w:line="240" w:lineRule="auto"/>
    </w:pPr>
    <w:tblPr>
      <w:tblStyleRowBandSize w:val="1"/>
      <w:tblStyleColBandSize w:val="1"/>
      <w:tblBorders>
        <w:top w:val="single" w:sz="8" w:space="0" w:color="D02B27" w:themeColor="accent2"/>
        <w:left w:val="single" w:sz="8" w:space="0" w:color="D02B27" w:themeColor="accent2"/>
        <w:bottom w:val="single" w:sz="8" w:space="0" w:color="D02B27" w:themeColor="accent2"/>
        <w:right w:val="single" w:sz="8" w:space="0" w:color="D02B27" w:themeColor="accent2"/>
        <w:insideH w:val="single" w:sz="8" w:space="0" w:color="D02B27" w:themeColor="accent2"/>
        <w:insideV w:val="single" w:sz="8" w:space="0" w:color="D02B2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02B27" w:themeColor="accent2"/>
          <w:left w:val="single" w:sz="8" w:space="0" w:color="D02B27" w:themeColor="accent2"/>
          <w:bottom w:val="single" w:sz="18" w:space="0" w:color="D02B27" w:themeColor="accent2"/>
          <w:right w:val="single" w:sz="8" w:space="0" w:color="D02B27" w:themeColor="accent2"/>
          <w:insideH w:val="nil"/>
          <w:insideV w:val="single" w:sz="8" w:space="0" w:color="D02B2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02B27" w:themeColor="accent2"/>
          <w:left w:val="single" w:sz="8" w:space="0" w:color="D02B27" w:themeColor="accent2"/>
          <w:bottom w:val="single" w:sz="8" w:space="0" w:color="D02B27" w:themeColor="accent2"/>
          <w:right w:val="single" w:sz="8" w:space="0" w:color="D02B27" w:themeColor="accent2"/>
          <w:insideH w:val="nil"/>
          <w:insideV w:val="single" w:sz="8" w:space="0" w:color="D02B2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02B27" w:themeColor="accent2"/>
          <w:left w:val="single" w:sz="8" w:space="0" w:color="D02B27" w:themeColor="accent2"/>
          <w:bottom w:val="single" w:sz="8" w:space="0" w:color="D02B27" w:themeColor="accent2"/>
          <w:right w:val="single" w:sz="8" w:space="0" w:color="D02B27" w:themeColor="accent2"/>
        </w:tcBorders>
      </w:tcPr>
    </w:tblStylePr>
    <w:tblStylePr w:type="band1Vert">
      <w:tblPr/>
      <w:tcPr>
        <w:tcBorders>
          <w:top w:val="single" w:sz="8" w:space="0" w:color="D02B27" w:themeColor="accent2"/>
          <w:left w:val="single" w:sz="8" w:space="0" w:color="D02B27" w:themeColor="accent2"/>
          <w:bottom w:val="single" w:sz="8" w:space="0" w:color="D02B27" w:themeColor="accent2"/>
          <w:right w:val="single" w:sz="8" w:space="0" w:color="D02B27" w:themeColor="accent2"/>
        </w:tcBorders>
        <w:shd w:val="clear" w:color="auto" w:fill="F4C9C8" w:themeFill="accent2" w:themeFillTint="3F"/>
      </w:tcPr>
    </w:tblStylePr>
    <w:tblStylePr w:type="band1Horz">
      <w:tblPr/>
      <w:tcPr>
        <w:tcBorders>
          <w:top w:val="single" w:sz="8" w:space="0" w:color="D02B27" w:themeColor="accent2"/>
          <w:left w:val="single" w:sz="8" w:space="0" w:color="D02B27" w:themeColor="accent2"/>
          <w:bottom w:val="single" w:sz="8" w:space="0" w:color="D02B27" w:themeColor="accent2"/>
          <w:right w:val="single" w:sz="8" w:space="0" w:color="D02B27" w:themeColor="accent2"/>
          <w:insideV w:val="single" w:sz="8" w:space="0" w:color="D02B27" w:themeColor="accent2"/>
        </w:tcBorders>
        <w:shd w:val="clear" w:color="auto" w:fill="F4C9C8" w:themeFill="accent2" w:themeFillTint="3F"/>
      </w:tcPr>
    </w:tblStylePr>
    <w:tblStylePr w:type="band2Horz">
      <w:tblPr/>
      <w:tcPr>
        <w:tcBorders>
          <w:top w:val="single" w:sz="8" w:space="0" w:color="D02B27" w:themeColor="accent2"/>
          <w:left w:val="single" w:sz="8" w:space="0" w:color="D02B27" w:themeColor="accent2"/>
          <w:bottom w:val="single" w:sz="8" w:space="0" w:color="D02B27" w:themeColor="accent2"/>
          <w:right w:val="single" w:sz="8" w:space="0" w:color="D02B27" w:themeColor="accent2"/>
          <w:insideV w:val="single" w:sz="8" w:space="0" w:color="D02B27" w:themeColor="accent2"/>
        </w:tcBorders>
      </w:tcPr>
    </w:tblStylePr>
  </w:style>
  <w:style w:type="table" w:styleId="LightGrid-Accent3">
    <w:name w:val="Light Grid Accent 3"/>
    <w:basedOn w:val="TableNormal"/>
    <w:unhideWhenUsed/>
    <w:rsid w:val="00DC0A72"/>
    <w:pPr>
      <w:spacing w:after="0" w:line="240" w:lineRule="auto"/>
    </w:pPr>
    <w:tblPr>
      <w:tblStyleRowBandSize w:val="1"/>
      <w:tblStyleColBandSize w:val="1"/>
      <w:tblBorders>
        <w:top w:val="single" w:sz="8" w:space="0" w:color="5B6771" w:themeColor="accent3"/>
        <w:left w:val="single" w:sz="8" w:space="0" w:color="5B6771" w:themeColor="accent3"/>
        <w:bottom w:val="single" w:sz="8" w:space="0" w:color="5B6771" w:themeColor="accent3"/>
        <w:right w:val="single" w:sz="8" w:space="0" w:color="5B6771" w:themeColor="accent3"/>
        <w:insideH w:val="single" w:sz="8" w:space="0" w:color="5B6771" w:themeColor="accent3"/>
        <w:insideV w:val="single" w:sz="8" w:space="0" w:color="5B677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6771" w:themeColor="accent3"/>
          <w:left w:val="single" w:sz="8" w:space="0" w:color="5B6771" w:themeColor="accent3"/>
          <w:bottom w:val="single" w:sz="18" w:space="0" w:color="5B6771" w:themeColor="accent3"/>
          <w:right w:val="single" w:sz="8" w:space="0" w:color="5B6771" w:themeColor="accent3"/>
          <w:insideH w:val="nil"/>
          <w:insideV w:val="single" w:sz="8" w:space="0" w:color="5B677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6771" w:themeColor="accent3"/>
          <w:left w:val="single" w:sz="8" w:space="0" w:color="5B6771" w:themeColor="accent3"/>
          <w:bottom w:val="single" w:sz="8" w:space="0" w:color="5B6771" w:themeColor="accent3"/>
          <w:right w:val="single" w:sz="8" w:space="0" w:color="5B6771" w:themeColor="accent3"/>
          <w:insideH w:val="nil"/>
          <w:insideV w:val="single" w:sz="8" w:space="0" w:color="5B677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6771" w:themeColor="accent3"/>
          <w:left w:val="single" w:sz="8" w:space="0" w:color="5B6771" w:themeColor="accent3"/>
          <w:bottom w:val="single" w:sz="8" w:space="0" w:color="5B6771" w:themeColor="accent3"/>
          <w:right w:val="single" w:sz="8" w:space="0" w:color="5B6771" w:themeColor="accent3"/>
        </w:tcBorders>
      </w:tcPr>
    </w:tblStylePr>
    <w:tblStylePr w:type="band1Vert">
      <w:tblPr/>
      <w:tcPr>
        <w:tcBorders>
          <w:top w:val="single" w:sz="8" w:space="0" w:color="5B6771" w:themeColor="accent3"/>
          <w:left w:val="single" w:sz="8" w:space="0" w:color="5B6771" w:themeColor="accent3"/>
          <w:bottom w:val="single" w:sz="8" w:space="0" w:color="5B6771" w:themeColor="accent3"/>
          <w:right w:val="single" w:sz="8" w:space="0" w:color="5B6771" w:themeColor="accent3"/>
        </w:tcBorders>
        <w:shd w:val="clear" w:color="auto" w:fill="D5D9DD" w:themeFill="accent3" w:themeFillTint="3F"/>
      </w:tcPr>
    </w:tblStylePr>
    <w:tblStylePr w:type="band1Horz">
      <w:tblPr/>
      <w:tcPr>
        <w:tcBorders>
          <w:top w:val="single" w:sz="8" w:space="0" w:color="5B6771" w:themeColor="accent3"/>
          <w:left w:val="single" w:sz="8" w:space="0" w:color="5B6771" w:themeColor="accent3"/>
          <w:bottom w:val="single" w:sz="8" w:space="0" w:color="5B6771" w:themeColor="accent3"/>
          <w:right w:val="single" w:sz="8" w:space="0" w:color="5B6771" w:themeColor="accent3"/>
          <w:insideV w:val="single" w:sz="8" w:space="0" w:color="5B6771" w:themeColor="accent3"/>
        </w:tcBorders>
        <w:shd w:val="clear" w:color="auto" w:fill="D5D9DD" w:themeFill="accent3" w:themeFillTint="3F"/>
      </w:tcPr>
    </w:tblStylePr>
    <w:tblStylePr w:type="band2Horz">
      <w:tblPr/>
      <w:tcPr>
        <w:tcBorders>
          <w:top w:val="single" w:sz="8" w:space="0" w:color="5B6771" w:themeColor="accent3"/>
          <w:left w:val="single" w:sz="8" w:space="0" w:color="5B6771" w:themeColor="accent3"/>
          <w:bottom w:val="single" w:sz="8" w:space="0" w:color="5B6771" w:themeColor="accent3"/>
          <w:right w:val="single" w:sz="8" w:space="0" w:color="5B6771" w:themeColor="accent3"/>
          <w:insideV w:val="single" w:sz="8" w:space="0" w:color="5B6771" w:themeColor="accent3"/>
        </w:tcBorders>
      </w:tcPr>
    </w:tblStylePr>
  </w:style>
  <w:style w:type="table" w:styleId="LightGrid-Accent4">
    <w:name w:val="Light Grid Accent 4"/>
    <w:basedOn w:val="TableNormal"/>
    <w:unhideWhenUsed/>
    <w:rsid w:val="00DC0A72"/>
    <w:pPr>
      <w:spacing w:after="0" w:line="240" w:lineRule="auto"/>
    </w:pPr>
    <w:tblPr>
      <w:tblStyleRowBandSize w:val="1"/>
      <w:tblStyleColBandSize w:val="1"/>
      <w:tblBorders>
        <w:top w:val="single" w:sz="8" w:space="0" w:color="F1B51C" w:themeColor="accent4"/>
        <w:left w:val="single" w:sz="8" w:space="0" w:color="F1B51C" w:themeColor="accent4"/>
        <w:bottom w:val="single" w:sz="8" w:space="0" w:color="F1B51C" w:themeColor="accent4"/>
        <w:right w:val="single" w:sz="8" w:space="0" w:color="F1B51C" w:themeColor="accent4"/>
        <w:insideH w:val="single" w:sz="8" w:space="0" w:color="F1B51C" w:themeColor="accent4"/>
        <w:insideV w:val="single" w:sz="8" w:space="0" w:color="F1B51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1B51C" w:themeColor="accent4"/>
          <w:left w:val="single" w:sz="8" w:space="0" w:color="F1B51C" w:themeColor="accent4"/>
          <w:bottom w:val="single" w:sz="18" w:space="0" w:color="F1B51C" w:themeColor="accent4"/>
          <w:right w:val="single" w:sz="8" w:space="0" w:color="F1B51C" w:themeColor="accent4"/>
          <w:insideH w:val="nil"/>
          <w:insideV w:val="single" w:sz="8" w:space="0" w:color="F1B51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1B51C" w:themeColor="accent4"/>
          <w:left w:val="single" w:sz="8" w:space="0" w:color="F1B51C" w:themeColor="accent4"/>
          <w:bottom w:val="single" w:sz="8" w:space="0" w:color="F1B51C" w:themeColor="accent4"/>
          <w:right w:val="single" w:sz="8" w:space="0" w:color="F1B51C" w:themeColor="accent4"/>
          <w:insideH w:val="nil"/>
          <w:insideV w:val="single" w:sz="8" w:space="0" w:color="F1B51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1B51C" w:themeColor="accent4"/>
          <w:left w:val="single" w:sz="8" w:space="0" w:color="F1B51C" w:themeColor="accent4"/>
          <w:bottom w:val="single" w:sz="8" w:space="0" w:color="F1B51C" w:themeColor="accent4"/>
          <w:right w:val="single" w:sz="8" w:space="0" w:color="F1B51C" w:themeColor="accent4"/>
        </w:tcBorders>
      </w:tcPr>
    </w:tblStylePr>
    <w:tblStylePr w:type="band1Vert">
      <w:tblPr/>
      <w:tcPr>
        <w:tcBorders>
          <w:top w:val="single" w:sz="8" w:space="0" w:color="F1B51C" w:themeColor="accent4"/>
          <w:left w:val="single" w:sz="8" w:space="0" w:color="F1B51C" w:themeColor="accent4"/>
          <w:bottom w:val="single" w:sz="8" w:space="0" w:color="F1B51C" w:themeColor="accent4"/>
          <w:right w:val="single" w:sz="8" w:space="0" w:color="F1B51C" w:themeColor="accent4"/>
        </w:tcBorders>
        <w:shd w:val="clear" w:color="auto" w:fill="FBECC6" w:themeFill="accent4" w:themeFillTint="3F"/>
      </w:tcPr>
    </w:tblStylePr>
    <w:tblStylePr w:type="band1Horz">
      <w:tblPr/>
      <w:tcPr>
        <w:tcBorders>
          <w:top w:val="single" w:sz="8" w:space="0" w:color="F1B51C" w:themeColor="accent4"/>
          <w:left w:val="single" w:sz="8" w:space="0" w:color="F1B51C" w:themeColor="accent4"/>
          <w:bottom w:val="single" w:sz="8" w:space="0" w:color="F1B51C" w:themeColor="accent4"/>
          <w:right w:val="single" w:sz="8" w:space="0" w:color="F1B51C" w:themeColor="accent4"/>
          <w:insideV w:val="single" w:sz="8" w:space="0" w:color="F1B51C" w:themeColor="accent4"/>
        </w:tcBorders>
        <w:shd w:val="clear" w:color="auto" w:fill="FBECC6" w:themeFill="accent4" w:themeFillTint="3F"/>
      </w:tcPr>
    </w:tblStylePr>
    <w:tblStylePr w:type="band2Horz">
      <w:tblPr/>
      <w:tcPr>
        <w:tcBorders>
          <w:top w:val="single" w:sz="8" w:space="0" w:color="F1B51C" w:themeColor="accent4"/>
          <w:left w:val="single" w:sz="8" w:space="0" w:color="F1B51C" w:themeColor="accent4"/>
          <w:bottom w:val="single" w:sz="8" w:space="0" w:color="F1B51C" w:themeColor="accent4"/>
          <w:right w:val="single" w:sz="8" w:space="0" w:color="F1B51C" w:themeColor="accent4"/>
          <w:insideV w:val="single" w:sz="8" w:space="0" w:color="F1B51C" w:themeColor="accent4"/>
        </w:tcBorders>
      </w:tcPr>
    </w:tblStylePr>
  </w:style>
  <w:style w:type="table" w:styleId="LightGrid-Accent5">
    <w:name w:val="Light Grid Accent 5"/>
    <w:basedOn w:val="TableNormal"/>
    <w:unhideWhenUsed/>
    <w:rsid w:val="00DC0A72"/>
    <w:pPr>
      <w:spacing w:after="0" w:line="240" w:lineRule="auto"/>
    </w:pPr>
    <w:tblPr>
      <w:tblStyleRowBandSize w:val="1"/>
      <w:tblStyleColBandSize w:val="1"/>
      <w:tblBorders>
        <w:top w:val="single" w:sz="8" w:space="0" w:color="189394" w:themeColor="accent5"/>
        <w:left w:val="single" w:sz="8" w:space="0" w:color="189394" w:themeColor="accent5"/>
        <w:bottom w:val="single" w:sz="8" w:space="0" w:color="189394" w:themeColor="accent5"/>
        <w:right w:val="single" w:sz="8" w:space="0" w:color="189394" w:themeColor="accent5"/>
        <w:insideH w:val="single" w:sz="8" w:space="0" w:color="189394" w:themeColor="accent5"/>
        <w:insideV w:val="single" w:sz="8" w:space="0" w:color="18939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89394" w:themeColor="accent5"/>
          <w:left w:val="single" w:sz="8" w:space="0" w:color="189394" w:themeColor="accent5"/>
          <w:bottom w:val="single" w:sz="18" w:space="0" w:color="189394" w:themeColor="accent5"/>
          <w:right w:val="single" w:sz="8" w:space="0" w:color="189394" w:themeColor="accent5"/>
          <w:insideH w:val="nil"/>
          <w:insideV w:val="single" w:sz="8" w:space="0" w:color="18939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89394" w:themeColor="accent5"/>
          <w:left w:val="single" w:sz="8" w:space="0" w:color="189394" w:themeColor="accent5"/>
          <w:bottom w:val="single" w:sz="8" w:space="0" w:color="189394" w:themeColor="accent5"/>
          <w:right w:val="single" w:sz="8" w:space="0" w:color="189394" w:themeColor="accent5"/>
          <w:insideH w:val="nil"/>
          <w:insideV w:val="single" w:sz="8" w:space="0" w:color="18939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89394" w:themeColor="accent5"/>
          <w:left w:val="single" w:sz="8" w:space="0" w:color="189394" w:themeColor="accent5"/>
          <w:bottom w:val="single" w:sz="8" w:space="0" w:color="189394" w:themeColor="accent5"/>
          <w:right w:val="single" w:sz="8" w:space="0" w:color="189394" w:themeColor="accent5"/>
        </w:tcBorders>
      </w:tcPr>
    </w:tblStylePr>
    <w:tblStylePr w:type="band1Vert">
      <w:tblPr/>
      <w:tcPr>
        <w:tcBorders>
          <w:top w:val="single" w:sz="8" w:space="0" w:color="189394" w:themeColor="accent5"/>
          <w:left w:val="single" w:sz="8" w:space="0" w:color="189394" w:themeColor="accent5"/>
          <w:bottom w:val="single" w:sz="8" w:space="0" w:color="189394" w:themeColor="accent5"/>
          <w:right w:val="single" w:sz="8" w:space="0" w:color="189394" w:themeColor="accent5"/>
        </w:tcBorders>
        <w:shd w:val="clear" w:color="auto" w:fill="B7F2F3" w:themeFill="accent5" w:themeFillTint="3F"/>
      </w:tcPr>
    </w:tblStylePr>
    <w:tblStylePr w:type="band1Horz">
      <w:tblPr/>
      <w:tcPr>
        <w:tcBorders>
          <w:top w:val="single" w:sz="8" w:space="0" w:color="189394" w:themeColor="accent5"/>
          <w:left w:val="single" w:sz="8" w:space="0" w:color="189394" w:themeColor="accent5"/>
          <w:bottom w:val="single" w:sz="8" w:space="0" w:color="189394" w:themeColor="accent5"/>
          <w:right w:val="single" w:sz="8" w:space="0" w:color="189394" w:themeColor="accent5"/>
          <w:insideV w:val="single" w:sz="8" w:space="0" w:color="189394" w:themeColor="accent5"/>
        </w:tcBorders>
        <w:shd w:val="clear" w:color="auto" w:fill="B7F2F3" w:themeFill="accent5" w:themeFillTint="3F"/>
      </w:tcPr>
    </w:tblStylePr>
    <w:tblStylePr w:type="band2Horz">
      <w:tblPr/>
      <w:tcPr>
        <w:tcBorders>
          <w:top w:val="single" w:sz="8" w:space="0" w:color="189394" w:themeColor="accent5"/>
          <w:left w:val="single" w:sz="8" w:space="0" w:color="189394" w:themeColor="accent5"/>
          <w:bottom w:val="single" w:sz="8" w:space="0" w:color="189394" w:themeColor="accent5"/>
          <w:right w:val="single" w:sz="8" w:space="0" w:color="189394" w:themeColor="accent5"/>
          <w:insideV w:val="single" w:sz="8" w:space="0" w:color="189394" w:themeColor="accent5"/>
        </w:tcBorders>
      </w:tcPr>
    </w:tblStylePr>
  </w:style>
  <w:style w:type="table" w:styleId="LightGrid-Accent6">
    <w:name w:val="Light Grid Accent 6"/>
    <w:basedOn w:val="TableNormal"/>
    <w:unhideWhenUsed/>
    <w:rsid w:val="00DC0A72"/>
    <w:pPr>
      <w:spacing w:after="0" w:line="240" w:lineRule="auto"/>
    </w:pPr>
    <w:tblPr>
      <w:tblStyleRowBandSize w:val="1"/>
      <w:tblStyleColBandSize w:val="1"/>
      <w:tblBorders>
        <w:top w:val="single" w:sz="8" w:space="0" w:color="17A673" w:themeColor="accent6"/>
        <w:left w:val="single" w:sz="8" w:space="0" w:color="17A673" w:themeColor="accent6"/>
        <w:bottom w:val="single" w:sz="8" w:space="0" w:color="17A673" w:themeColor="accent6"/>
        <w:right w:val="single" w:sz="8" w:space="0" w:color="17A673" w:themeColor="accent6"/>
        <w:insideH w:val="single" w:sz="8" w:space="0" w:color="17A673" w:themeColor="accent6"/>
        <w:insideV w:val="single" w:sz="8" w:space="0" w:color="17A673"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7A673" w:themeColor="accent6"/>
          <w:left w:val="single" w:sz="8" w:space="0" w:color="17A673" w:themeColor="accent6"/>
          <w:bottom w:val="single" w:sz="18" w:space="0" w:color="17A673" w:themeColor="accent6"/>
          <w:right w:val="single" w:sz="8" w:space="0" w:color="17A673" w:themeColor="accent6"/>
          <w:insideH w:val="nil"/>
          <w:insideV w:val="single" w:sz="8" w:space="0" w:color="17A673"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7A673" w:themeColor="accent6"/>
          <w:left w:val="single" w:sz="8" w:space="0" w:color="17A673" w:themeColor="accent6"/>
          <w:bottom w:val="single" w:sz="8" w:space="0" w:color="17A673" w:themeColor="accent6"/>
          <w:right w:val="single" w:sz="8" w:space="0" w:color="17A673" w:themeColor="accent6"/>
          <w:insideH w:val="nil"/>
          <w:insideV w:val="single" w:sz="8" w:space="0" w:color="17A673"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7A673" w:themeColor="accent6"/>
          <w:left w:val="single" w:sz="8" w:space="0" w:color="17A673" w:themeColor="accent6"/>
          <w:bottom w:val="single" w:sz="8" w:space="0" w:color="17A673" w:themeColor="accent6"/>
          <w:right w:val="single" w:sz="8" w:space="0" w:color="17A673" w:themeColor="accent6"/>
        </w:tcBorders>
      </w:tcPr>
    </w:tblStylePr>
    <w:tblStylePr w:type="band1Vert">
      <w:tblPr/>
      <w:tcPr>
        <w:tcBorders>
          <w:top w:val="single" w:sz="8" w:space="0" w:color="17A673" w:themeColor="accent6"/>
          <w:left w:val="single" w:sz="8" w:space="0" w:color="17A673" w:themeColor="accent6"/>
          <w:bottom w:val="single" w:sz="8" w:space="0" w:color="17A673" w:themeColor="accent6"/>
          <w:right w:val="single" w:sz="8" w:space="0" w:color="17A673" w:themeColor="accent6"/>
        </w:tcBorders>
        <w:shd w:val="clear" w:color="auto" w:fill="B9F5DF" w:themeFill="accent6" w:themeFillTint="3F"/>
      </w:tcPr>
    </w:tblStylePr>
    <w:tblStylePr w:type="band1Horz">
      <w:tblPr/>
      <w:tcPr>
        <w:tcBorders>
          <w:top w:val="single" w:sz="8" w:space="0" w:color="17A673" w:themeColor="accent6"/>
          <w:left w:val="single" w:sz="8" w:space="0" w:color="17A673" w:themeColor="accent6"/>
          <w:bottom w:val="single" w:sz="8" w:space="0" w:color="17A673" w:themeColor="accent6"/>
          <w:right w:val="single" w:sz="8" w:space="0" w:color="17A673" w:themeColor="accent6"/>
          <w:insideV w:val="single" w:sz="8" w:space="0" w:color="17A673" w:themeColor="accent6"/>
        </w:tcBorders>
        <w:shd w:val="clear" w:color="auto" w:fill="B9F5DF" w:themeFill="accent6" w:themeFillTint="3F"/>
      </w:tcPr>
    </w:tblStylePr>
    <w:tblStylePr w:type="band2Horz">
      <w:tblPr/>
      <w:tcPr>
        <w:tcBorders>
          <w:top w:val="single" w:sz="8" w:space="0" w:color="17A673" w:themeColor="accent6"/>
          <w:left w:val="single" w:sz="8" w:space="0" w:color="17A673" w:themeColor="accent6"/>
          <w:bottom w:val="single" w:sz="8" w:space="0" w:color="17A673" w:themeColor="accent6"/>
          <w:right w:val="single" w:sz="8" w:space="0" w:color="17A673" w:themeColor="accent6"/>
          <w:insideV w:val="single" w:sz="8" w:space="0" w:color="17A673" w:themeColor="accent6"/>
        </w:tcBorders>
      </w:tcPr>
    </w:tblStylePr>
  </w:style>
  <w:style w:type="table" w:styleId="LightList">
    <w:name w:val="Light List"/>
    <w:basedOn w:val="TableNormal"/>
    <w:unhideWhenUsed/>
    <w:rsid w:val="00DC0A7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nhideWhenUsed/>
    <w:rsid w:val="00DC0A72"/>
    <w:pPr>
      <w:spacing w:after="0" w:line="240" w:lineRule="auto"/>
    </w:pPr>
    <w:tblPr>
      <w:tblStyleRowBandSize w:val="1"/>
      <w:tblStyleColBandSize w:val="1"/>
      <w:tblBorders>
        <w:top w:val="single" w:sz="8" w:space="0" w:color="0B2949" w:themeColor="accent1"/>
        <w:left w:val="single" w:sz="8" w:space="0" w:color="0B2949" w:themeColor="accent1"/>
        <w:bottom w:val="single" w:sz="8" w:space="0" w:color="0B2949" w:themeColor="accent1"/>
        <w:right w:val="single" w:sz="8" w:space="0" w:color="0B2949" w:themeColor="accent1"/>
      </w:tblBorders>
    </w:tblPr>
    <w:tblStylePr w:type="firstRow">
      <w:pPr>
        <w:spacing w:before="0" w:after="0" w:line="240" w:lineRule="auto"/>
      </w:pPr>
      <w:rPr>
        <w:b/>
        <w:bCs/>
        <w:color w:val="FFFFFF" w:themeColor="background1"/>
      </w:rPr>
      <w:tblPr/>
      <w:tcPr>
        <w:shd w:val="clear" w:color="auto" w:fill="0B2949" w:themeFill="accent1"/>
      </w:tcPr>
    </w:tblStylePr>
    <w:tblStylePr w:type="lastRow">
      <w:pPr>
        <w:spacing w:before="0" w:after="0" w:line="240" w:lineRule="auto"/>
      </w:pPr>
      <w:rPr>
        <w:b/>
        <w:bCs/>
      </w:rPr>
      <w:tblPr/>
      <w:tcPr>
        <w:tcBorders>
          <w:top w:val="double" w:sz="6" w:space="0" w:color="0B2949" w:themeColor="accent1"/>
          <w:left w:val="single" w:sz="8" w:space="0" w:color="0B2949" w:themeColor="accent1"/>
          <w:bottom w:val="single" w:sz="8" w:space="0" w:color="0B2949" w:themeColor="accent1"/>
          <w:right w:val="single" w:sz="8" w:space="0" w:color="0B2949" w:themeColor="accent1"/>
        </w:tcBorders>
      </w:tcPr>
    </w:tblStylePr>
    <w:tblStylePr w:type="firstCol">
      <w:rPr>
        <w:b/>
        <w:bCs/>
      </w:rPr>
    </w:tblStylePr>
    <w:tblStylePr w:type="lastCol">
      <w:rPr>
        <w:b/>
        <w:bCs/>
      </w:rPr>
    </w:tblStylePr>
    <w:tblStylePr w:type="band1Vert">
      <w:tblPr/>
      <w:tcPr>
        <w:tcBorders>
          <w:top w:val="single" w:sz="8" w:space="0" w:color="0B2949" w:themeColor="accent1"/>
          <w:left w:val="single" w:sz="8" w:space="0" w:color="0B2949" w:themeColor="accent1"/>
          <w:bottom w:val="single" w:sz="8" w:space="0" w:color="0B2949" w:themeColor="accent1"/>
          <w:right w:val="single" w:sz="8" w:space="0" w:color="0B2949" w:themeColor="accent1"/>
        </w:tcBorders>
      </w:tcPr>
    </w:tblStylePr>
    <w:tblStylePr w:type="band1Horz">
      <w:tblPr/>
      <w:tcPr>
        <w:tcBorders>
          <w:top w:val="single" w:sz="8" w:space="0" w:color="0B2949" w:themeColor="accent1"/>
          <w:left w:val="single" w:sz="8" w:space="0" w:color="0B2949" w:themeColor="accent1"/>
          <w:bottom w:val="single" w:sz="8" w:space="0" w:color="0B2949" w:themeColor="accent1"/>
          <w:right w:val="single" w:sz="8" w:space="0" w:color="0B2949" w:themeColor="accent1"/>
        </w:tcBorders>
      </w:tcPr>
    </w:tblStylePr>
  </w:style>
  <w:style w:type="table" w:styleId="LightList-Accent2">
    <w:name w:val="Light List Accent 2"/>
    <w:basedOn w:val="TableNormal"/>
    <w:unhideWhenUsed/>
    <w:rsid w:val="00DC0A72"/>
    <w:pPr>
      <w:spacing w:after="0" w:line="240" w:lineRule="auto"/>
    </w:pPr>
    <w:tblPr>
      <w:tblStyleRowBandSize w:val="1"/>
      <w:tblStyleColBandSize w:val="1"/>
      <w:tblBorders>
        <w:top w:val="single" w:sz="8" w:space="0" w:color="D02B27" w:themeColor="accent2"/>
        <w:left w:val="single" w:sz="8" w:space="0" w:color="D02B27" w:themeColor="accent2"/>
        <w:bottom w:val="single" w:sz="8" w:space="0" w:color="D02B27" w:themeColor="accent2"/>
        <w:right w:val="single" w:sz="8" w:space="0" w:color="D02B27" w:themeColor="accent2"/>
      </w:tblBorders>
    </w:tblPr>
    <w:tblStylePr w:type="firstRow">
      <w:pPr>
        <w:spacing w:before="0" w:after="0" w:line="240" w:lineRule="auto"/>
      </w:pPr>
      <w:rPr>
        <w:b/>
        <w:bCs/>
        <w:color w:val="FFFFFF" w:themeColor="background1"/>
      </w:rPr>
      <w:tblPr/>
      <w:tcPr>
        <w:shd w:val="clear" w:color="auto" w:fill="D02B27" w:themeFill="accent2"/>
      </w:tcPr>
    </w:tblStylePr>
    <w:tblStylePr w:type="lastRow">
      <w:pPr>
        <w:spacing w:before="0" w:after="0" w:line="240" w:lineRule="auto"/>
      </w:pPr>
      <w:rPr>
        <w:b/>
        <w:bCs/>
      </w:rPr>
      <w:tblPr/>
      <w:tcPr>
        <w:tcBorders>
          <w:top w:val="double" w:sz="6" w:space="0" w:color="D02B27" w:themeColor="accent2"/>
          <w:left w:val="single" w:sz="8" w:space="0" w:color="D02B27" w:themeColor="accent2"/>
          <w:bottom w:val="single" w:sz="8" w:space="0" w:color="D02B27" w:themeColor="accent2"/>
          <w:right w:val="single" w:sz="8" w:space="0" w:color="D02B27" w:themeColor="accent2"/>
        </w:tcBorders>
      </w:tcPr>
    </w:tblStylePr>
    <w:tblStylePr w:type="firstCol">
      <w:rPr>
        <w:b/>
        <w:bCs/>
      </w:rPr>
    </w:tblStylePr>
    <w:tblStylePr w:type="lastCol">
      <w:rPr>
        <w:b/>
        <w:bCs/>
      </w:rPr>
    </w:tblStylePr>
    <w:tblStylePr w:type="band1Vert">
      <w:tblPr/>
      <w:tcPr>
        <w:tcBorders>
          <w:top w:val="single" w:sz="8" w:space="0" w:color="D02B27" w:themeColor="accent2"/>
          <w:left w:val="single" w:sz="8" w:space="0" w:color="D02B27" w:themeColor="accent2"/>
          <w:bottom w:val="single" w:sz="8" w:space="0" w:color="D02B27" w:themeColor="accent2"/>
          <w:right w:val="single" w:sz="8" w:space="0" w:color="D02B27" w:themeColor="accent2"/>
        </w:tcBorders>
      </w:tcPr>
    </w:tblStylePr>
    <w:tblStylePr w:type="band1Horz">
      <w:tblPr/>
      <w:tcPr>
        <w:tcBorders>
          <w:top w:val="single" w:sz="8" w:space="0" w:color="D02B27" w:themeColor="accent2"/>
          <w:left w:val="single" w:sz="8" w:space="0" w:color="D02B27" w:themeColor="accent2"/>
          <w:bottom w:val="single" w:sz="8" w:space="0" w:color="D02B27" w:themeColor="accent2"/>
          <w:right w:val="single" w:sz="8" w:space="0" w:color="D02B27" w:themeColor="accent2"/>
        </w:tcBorders>
      </w:tcPr>
    </w:tblStylePr>
  </w:style>
  <w:style w:type="table" w:styleId="LightList-Accent3">
    <w:name w:val="Light List Accent 3"/>
    <w:basedOn w:val="TableNormal"/>
    <w:unhideWhenUsed/>
    <w:rsid w:val="00DC0A72"/>
    <w:pPr>
      <w:spacing w:after="0" w:line="240" w:lineRule="auto"/>
    </w:pPr>
    <w:tblPr>
      <w:tblStyleRowBandSize w:val="1"/>
      <w:tblStyleColBandSize w:val="1"/>
      <w:tblBorders>
        <w:top w:val="single" w:sz="8" w:space="0" w:color="5B6771" w:themeColor="accent3"/>
        <w:left w:val="single" w:sz="8" w:space="0" w:color="5B6771" w:themeColor="accent3"/>
        <w:bottom w:val="single" w:sz="8" w:space="0" w:color="5B6771" w:themeColor="accent3"/>
        <w:right w:val="single" w:sz="8" w:space="0" w:color="5B6771" w:themeColor="accent3"/>
      </w:tblBorders>
    </w:tblPr>
    <w:tblStylePr w:type="firstRow">
      <w:pPr>
        <w:spacing w:before="0" w:after="0" w:line="240" w:lineRule="auto"/>
      </w:pPr>
      <w:rPr>
        <w:b/>
        <w:bCs/>
        <w:color w:val="FFFFFF" w:themeColor="background1"/>
      </w:rPr>
      <w:tblPr/>
      <w:tcPr>
        <w:shd w:val="clear" w:color="auto" w:fill="5B6771" w:themeFill="accent3"/>
      </w:tcPr>
    </w:tblStylePr>
    <w:tblStylePr w:type="lastRow">
      <w:pPr>
        <w:spacing w:before="0" w:after="0" w:line="240" w:lineRule="auto"/>
      </w:pPr>
      <w:rPr>
        <w:b/>
        <w:bCs/>
      </w:rPr>
      <w:tblPr/>
      <w:tcPr>
        <w:tcBorders>
          <w:top w:val="double" w:sz="6" w:space="0" w:color="5B6771" w:themeColor="accent3"/>
          <w:left w:val="single" w:sz="8" w:space="0" w:color="5B6771" w:themeColor="accent3"/>
          <w:bottom w:val="single" w:sz="8" w:space="0" w:color="5B6771" w:themeColor="accent3"/>
          <w:right w:val="single" w:sz="8" w:space="0" w:color="5B6771" w:themeColor="accent3"/>
        </w:tcBorders>
      </w:tcPr>
    </w:tblStylePr>
    <w:tblStylePr w:type="firstCol">
      <w:rPr>
        <w:b/>
        <w:bCs/>
      </w:rPr>
    </w:tblStylePr>
    <w:tblStylePr w:type="lastCol">
      <w:rPr>
        <w:b/>
        <w:bCs/>
      </w:rPr>
    </w:tblStylePr>
    <w:tblStylePr w:type="band1Vert">
      <w:tblPr/>
      <w:tcPr>
        <w:tcBorders>
          <w:top w:val="single" w:sz="8" w:space="0" w:color="5B6771" w:themeColor="accent3"/>
          <w:left w:val="single" w:sz="8" w:space="0" w:color="5B6771" w:themeColor="accent3"/>
          <w:bottom w:val="single" w:sz="8" w:space="0" w:color="5B6771" w:themeColor="accent3"/>
          <w:right w:val="single" w:sz="8" w:space="0" w:color="5B6771" w:themeColor="accent3"/>
        </w:tcBorders>
      </w:tcPr>
    </w:tblStylePr>
    <w:tblStylePr w:type="band1Horz">
      <w:tblPr/>
      <w:tcPr>
        <w:tcBorders>
          <w:top w:val="single" w:sz="8" w:space="0" w:color="5B6771" w:themeColor="accent3"/>
          <w:left w:val="single" w:sz="8" w:space="0" w:color="5B6771" w:themeColor="accent3"/>
          <w:bottom w:val="single" w:sz="8" w:space="0" w:color="5B6771" w:themeColor="accent3"/>
          <w:right w:val="single" w:sz="8" w:space="0" w:color="5B6771" w:themeColor="accent3"/>
        </w:tcBorders>
      </w:tcPr>
    </w:tblStylePr>
  </w:style>
  <w:style w:type="table" w:styleId="LightList-Accent4">
    <w:name w:val="Light List Accent 4"/>
    <w:basedOn w:val="TableNormal"/>
    <w:unhideWhenUsed/>
    <w:rsid w:val="00DC0A72"/>
    <w:pPr>
      <w:spacing w:after="0" w:line="240" w:lineRule="auto"/>
    </w:pPr>
    <w:tblPr>
      <w:tblStyleRowBandSize w:val="1"/>
      <w:tblStyleColBandSize w:val="1"/>
      <w:tblBorders>
        <w:top w:val="single" w:sz="8" w:space="0" w:color="F1B51C" w:themeColor="accent4"/>
        <w:left w:val="single" w:sz="8" w:space="0" w:color="F1B51C" w:themeColor="accent4"/>
        <w:bottom w:val="single" w:sz="8" w:space="0" w:color="F1B51C" w:themeColor="accent4"/>
        <w:right w:val="single" w:sz="8" w:space="0" w:color="F1B51C" w:themeColor="accent4"/>
      </w:tblBorders>
    </w:tblPr>
    <w:tblStylePr w:type="firstRow">
      <w:pPr>
        <w:spacing w:before="0" w:after="0" w:line="240" w:lineRule="auto"/>
      </w:pPr>
      <w:rPr>
        <w:b/>
        <w:bCs/>
        <w:color w:val="FFFFFF" w:themeColor="background1"/>
      </w:rPr>
      <w:tblPr/>
      <w:tcPr>
        <w:shd w:val="clear" w:color="auto" w:fill="F1B51C" w:themeFill="accent4"/>
      </w:tcPr>
    </w:tblStylePr>
    <w:tblStylePr w:type="lastRow">
      <w:pPr>
        <w:spacing w:before="0" w:after="0" w:line="240" w:lineRule="auto"/>
      </w:pPr>
      <w:rPr>
        <w:b/>
        <w:bCs/>
      </w:rPr>
      <w:tblPr/>
      <w:tcPr>
        <w:tcBorders>
          <w:top w:val="double" w:sz="6" w:space="0" w:color="F1B51C" w:themeColor="accent4"/>
          <w:left w:val="single" w:sz="8" w:space="0" w:color="F1B51C" w:themeColor="accent4"/>
          <w:bottom w:val="single" w:sz="8" w:space="0" w:color="F1B51C" w:themeColor="accent4"/>
          <w:right w:val="single" w:sz="8" w:space="0" w:color="F1B51C" w:themeColor="accent4"/>
        </w:tcBorders>
      </w:tcPr>
    </w:tblStylePr>
    <w:tblStylePr w:type="firstCol">
      <w:rPr>
        <w:b/>
        <w:bCs/>
      </w:rPr>
    </w:tblStylePr>
    <w:tblStylePr w:type="lastCol">
      <w:rPr>
        <w:b/>
        <w:bCs/>
      </w:rPr>
    </w:tblStylePr>
    <w:tblStylePr w:type="band1Vert">
      <w:tblPr/>
      <w:tcPr>
        <w:tcBorders>
          <w:top w:val="single" w:sz="8" w:space="0" w:color="F1B51C" w:themeColor="accent4"/>
          <w:left w:val="single" w:sz="8" w:space="0" w:color="F1B51C" w:themeColor="accent4"/>
          <w:bottom w:val="single" w:sz="8" w:space="0" w:color="F1B51C" w:themeColor="accent4"/>
          <w:right w:val="single" w:sz="8" w:space="0" w:color="F1B51C" w:themeColor="accent4"/>
        </w:tcBorders>
      </w:tcPr>
    </w:tblStylePr>
    <w:tblStylePr w:type="band1Horz">
      <w:tblPr/>
      <w:tcPr>
        <w:tcBorders>
          <w:top w:val="single" w:sz="8" w:space="0" w:color="F1B51C" w:themeColor="accent4"/>
          <w:left w:val="single" w:sz="8" w:space="0" w:color="F1B51C" w:themeColor="accent4"/>
          <w:bottom w:val="single" w:sz="8" w:space="0" w:color="F1B51C" w:themeColor="accent4"/>
          <w:right w:val="single" w:sz="8" w:space="0" w:color="F1B51C" w:themeColor="accent4"/>
        </w:tcBorders>
      </w:tcPr>
    </w:tblStylePr>
  </w:style>
  <w:style w:type="table" w:styleId="LightList-Accent5">
    <w:name w:val="Light List Accent 5"/>
    <w:basedOn w:val="TableNormal"/>
    <w:unhideWhenUsed/>
    <w:rsid w:val="00DC0A72"/>
    <w:pPr>
      <w:spacing w:after="0" w:line="240" w:lineRule="auto"/>
    </w:pPr>
    <w:tblPr>
      <w:tblStyleRowBandSize w:val="1"/>
      <w:tblStyleColBandSize w:val="1"/>
      <w:tblBorders>
        <w:top w:val="single" w:sz="8" w:space="0" w:color="189394" w:themeColor="accent5"/>
        <w:left w:val="single" w:sz="8" w:space="0" w:color="189394" w:themeColor="accent5"/>
        <w:bottom w:val="single" w:sz="8" w:space="0" w:color="189394" w:themeColor="accent5"/>
        <w:right w:val="single" w:sz="8" w:space="0" w:color="189394" w:themeColor="accent5"/>
      </w:tblBorders>
    </w:tblPr>
    <w:tblStylePr w:type="firstRow">
      <w:pPr>
        <w:spacing w:before="0" w:after="0" w:line="240" w:lineRule="auto"/>
      </w:pPr>
      <w:rPr>
        <w:b/>
        <w:bCs/>
        <w:color w:val="FFFFFF" w:themeColor="background1"/>
      </w:rPr>
      <w:tblPr/>
      <w:tcPr>
        <w:shd w:val="clear" w:color="auto" w:fill="189394" w:themeFill="accent5"/>
      </w:tcPr>
    </w:tblStylePr>
    <w:tblStylePr w:type="lastRow">
      <w:pPr>
        <w:spacing w:before="0" w:after="0" w:line="240" w:lineRule="auto"/>
      </w:pPr>
      <w:rPr>
        <w:b/>
        <w:bCs/>
      </w:rPr>
      <w:tblPr/>
      <w:tcPr>
        <w:tcBorders>
          <w:top w:val="double" w:sz="6" w:space="0" w:color="189394" w:themeColor="accent5"/>
          <w:left w:val="single" w:sz="8" w:space="0" w:color="189394" w:themeColor="accent5"/>
          <w:bottom w:val="single" w:sz="8" w:space="0" w:color="189394" w:themeColor="accent5"/>
          <w:right w:val="single" w:sz="8" w:space="0" w:color="189394" w:themeColor="accent5"/>
        </w:tcBorders>
      </w:tcPr>
    </w:tblStylePr>
    <w:tblStylePr w:type="firstCol">
      <w:rPr>
        <w:b/>
        <w:bCs/>
      </w:rPr>
    </w:tblStylePr>
    <w:tblStylePr w:type="lastCol">
      <w:rPr>
        <w:b/>
        <w:bCs/>
      </w:rPr>
    </w:tblStylePr>
    <w:tblStylePr w:type="band1Vert">
      <w:tblPr/>
      <w:tcPr>
        <w:tcBorders>
          <w:top w:val="single" w:sz="8" w:space="0" w:color="189394" w:themeColor="accent5"/>
          <w:left w:val="single" w:sz="8" w:space="0" w:color="189394" w:themeColor="accent5"/>
          <w:bottom w:val="single" w:sz="8" w:space="0" w:color="189394" w:themeColor="accent5"/>
          <w:right w:val="single" w:sz="8" w:space="0" w:color="189394" w:themeColor="accent5"/>
        </w:tcBorders>
      </w:tcPr>
    </w:tblStylePr>
    <w:tblStylePr w:type="band1Horz">
      <w:tblPr/>
      <w:tcPr>
        <w:tcBorders>
          <w:top w:val="single" w:sz="8" w:space="0" w:color="189394" w:themeColor="accent5"/>
          <w:left w:val="single" w:sz="8" w:space="0" w:color="189394" w:themeColor="accent5"/>
          <w:bottom w:val="single" w:sz="8" w:space="0" w:color="189394" w:themeColor="accent5"/>
          <w:right w:val="single" w:sz="8" w:space="0" w:color="189394" w:themeColor="accent5"/>
        </w:tcBorders>
      </w:tcPr>
    </w:tblStylePr>
  </w:style>
  <w:style w:type="table" w:styleId="LightList-Accent6">
    <w:name w:val="Light List Accent 6"/>
    <w:basedOn w:val="TableNormal"/>
    <w:unhideWhenUsed/>
    <w:rsid w:val="00DC0A72"/>
    <w:pPr>
      <w:spacing w:after="0" w:line="240" w:lineRule="auto"/>
    </w:pPr>
    <w:tblPr>
      <w:tblStyleRowBandSize w:val="1"/>
      <w:tblStyleColBandSize w:val="1"/>
      <w:tblBorders>
        <w:top w:val="single" w:sz="8" w:space="0" w:color="17A673" w:themeColor="accent6"/>
        <w:left w:val="single" w:sz="8" w:space="0" w:color="17A673" w:themeColor="accent6"/>
        <w:bottom w:val="single" w:sz="8" w:space="0" w:color="17A673" w:themeColor="accent6"/>
        <w:right w:val="single" w:sz="8" w:space="0" w:color="17A673" w:themeColor="accent6"/>
      </w:tblBorders>
    </w:tblPr>
    <w:tblStylePr w:type="firstRow">
      <w:pPr>
        <w:spacing w:before="0" w:after="0" w:line="240" w:lineRule="auto"/>
      </w:pPr>
      <w:rPr>
        <w:b/>
        <w:bCs/>
        <w:color w:val="FFFFFF" w:themeColor="background1"/>
      </w:rPr>
      <w:tblPr/>
      <w:tcPr>
        <w:shd w:val="clear" w:color="auto" w:fill="17A673" w:themeFill="accent6"/>
      </w:tcPr>
    </w:tblStylePr>
    <w:tblStylePr w:type="lastRow">
      <w:pPr>
        <w:spacing w:before="0" w:after="0" w:line="240" w:lineRule="auto"/>
      </w:pPr>
      <w:rPr>
        <w:b/>
        <w:bCs/>
      </w:rPr>
      <w:tblPr/>
      <w:tcPr>
        <w:tcBorders>
          <w:top w:val="double" w:sz="6" w:space="0" w:color="17A673" w:themeColor="accent6"/>
          <w:left w:val="single" w:sz="8" w:space="0" w:color="17A673" w:themeColor="accent6"/>
          <w:bottom w:val="single" w:sz="8" w:space="0" w:color="17A673" w:themeColor="accent6"/>
          <w:right w:val="single" w:sz="8" w:space="0" w:color="17A673" w:themeColor="accent6"/>
        </w:tcBorders>
      </w:tcPr>
    </w:tblStylePr>
    <w:tblStylePr w:type="firstCol">
      <w:rPr>
        <w:b/>
        <w:bCs/>
      </w:rPr>
    </w:tblStylePr>
    <w:tblStylePr w:type="lastCol">
      <w:rPr>
        <w:b/>
        <w:bCs/>
      </w:rPr>
    </w:tblStylePr>
    <w:tblStylePr w:type="band1Vert">
      <w:tblPr/>
      <w:tcPr>
        <w:tcBorders>
          <w:top w:val="single" w:sz="8" w:space="0" w:color="17A673" w:themeColor="accent6"/>
          <w:left w:val="single" w:sz="8" w:space="0" w:color="17A673" w:themeColor="accent6"/>
          <w:bottom w:val="single" w:sz="8" w:space="0" w:color="17A673" w:themeColor="accent6"/>
          <w:right w:val="single" w:sz="8" w:space="0" w:color="17A673" w:themeColor="accent6"/>
        </w:tcBorders>
      </w:tcPr>
    </w:tblStylePr>
    <w:tblStylePr w:type="band1Horz">
      <w:tblPr/>
      <w:tcPr>
        <w:tcBorders>
          <w:top w:val="single" w:sz="8" w:space="0" w:color="17A673" w:themeColor="accent6"/>
          <w:left w:val="single" w:sz="8" w:space="0" w:color="17A673" w:themeColor="accent6"/>
          <w:bottom w:val="single" w:sz="8" w:space="0" w:color="17A673" w:themeColor="accent6"/>
          <w:right w:val="single" w:sz="8" w:space="0" w:color="17A673" w:themeColor="accent6"/>
        </w:tcBorders>
      </w:tcPr>
    </w:tblStylePr>
  </w:style>
  <w:style w:type="table" w:styleId="LightShading">
    <w:name w:val="Light Shading"/>
    <w:basedOn w:val="TableNormal"/>
    <w:unhideWhenUsed/>
    <w:rsid w:val="00DC0A7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nhideWhenUsed/>
    <w:rsid w:val="00DC0A72"/>
    <w:pPr>
      <w:spacing w:after="0" w:line="240" w:lineRule="auto"/>
    </w:pPr>
    <w:rPr>
      <w:color w:val="081E36" w:themeColor="accent1" w:themeShade="BF"/>
    </w:rPr>
    <w:tblPr>
      <w:tblStyleRowBandSize w:val="1"/>
      <w:tblStyleColBandSize w:val="1"/>
      <w:tblBorders>
        <w:top w:val="single" w:sz="8" w:space="0" w:color="0B2949" w:themeColor="accent1"/>
        <w:bottom w:val="single" w:sz="8" w:space="0" w:color="0B2949" w:themeColor="accent1"/>
      </w:tblBorders>
    </w:tblPr>
    <w:tblStylePr w:type="firstRow">
      <w:pPr>
        <w:spacing w:before="0" w:after="0" w:line="240" w:lineRule="auto"/>
      </w:pPr>
      <w:rPr>
        <w:b/>
        <w:bCs/>
      </w:rPr>
      <w:tblPr/>
      <w:tcPr>
        <w:tcBorders>
          <w:top w:val="single" w:sz="8" w:space="0" w:color="0B2949" w:themeColor="accent1"/>
          <w:left w:val="nil"/>
          <w:bottom w:val="single" w:sz="8" w:space="0" w:color="0B2949" w:themeColor="accent1"/>
          <w:right w:val="nil"/>
          <w:insideH w:val="nil"/>
          <w:insideV w:val="nil"/>
        </w:tcBorders>
      </w:tcPr>
    </w:tblStylePr>
    <w:tblStylePr w:type="lastRow">
      <w:pPr>
        <w:spacing w:before="0" w:after="0" w:line="240" w:lineRule="auto"/>
      </w:pPr>
      <w:rPr>
        <w:b/>
        <w:bCs/>
      </w:rPr>
      <w:tblPr/>
      <w:tcPr>
        <w:tcBorders>
          <w:top w:val="single" w:sz="8" w:space="0" w:color="0B2949" w:themeColor="accent1"/>
          <w:left w:val="nil"/>
          <w:bottom w:val="single" w:sz="8" w:space="0" w:color="0B29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C8F1" w:themeFill="accent1" w:themeFillTint="3F"/>
      </w:tcPr>
    </w:tblStylePr>
    <w:tblStylePr w:type="band1Horz">
      <w:tblPr/>
      <w:tcPr>
        <w:tcBorders>
          <w:left w:val="nil"/>
          <w:right w:val="nil"/>
          <w:insideH w:val="nil"/>
          <w:insideV w:val="nil"/>
        </w:tcBorders>
        <w:shd w:val="clear" w:color="auto" w:fill="A3C8F1" w:themeFill="accent1" w:themeFillTint="3F"/>
      </w:tcPr>
    </w:tblStylePr>
  </w:style>
  <w:style w:type="table" w:styleId="LightShading-Accent2">
    <w:name w:val="Light Shading Accent 2"/>
    <w:basedOn w:val="TableNormal"/>
    <w:unhideWhenUsed/>
    <w:rsid w:val="00DC0A72"/>
    <w:pPr>
      <w:spacing w:after="0" w:line="240" w:lineRule="auto"/>
    </w:pPr>
    <w:rPr>
      <w:color w:val="9B201D" w:themeColor="accent2" w:themeShade="BF"/>
    </w:rPr>
    <w:tblPr>
      <w:tblStyleRowBandSize w:val="1"/>
      <w:tblStyleColBandSize w:val="1"/>
      <w:tblBorders>
        <w:top w:val="single" w:sz="8" w:space="0" w:color="D02B27" w:themeColor="accent2"/>
        <w:bottom w:val="single" w:sz="8" w:space="0" w:color="D02B27" w:themeColor="accent2"/>
      </w:tblBorders>
    </w:tblPr>
    <w:tblStylePr w:type="firstRow">
      <w:pPr>
        <w:spacing w:before="0" w:after="0" w:line="240" w:lineRule="auto"/>
      </w:pPr>
      <w:rPr>
        <w:b/>
        <w:bCs/>
      </w:rPr>
      <w:tblPr/>
      <w:tcPr>
        <w:tcBorders>
          <w:top w:val="single" w:sz="8" w:space="0" w:color="D02B27" w:themeColor="accent2"/>
          <w:left w:val="nil"/>
          <w:bottom w:val="single" w:sz="8" w:space="0" w:color="D02B27" w:themeColor="accent2"/>
          <w:right w:val="nil"/>
          <w:insideH w:val="nil"/>
          <w:insideV w:val="nil"/>
        </w:tcBorders>
      </w:tcPr>
    </w:tblStylePr>
    <w:tblStylePr w:type="lastRow">
      <w:pPr>
        <w:spacing w:before="0" w:after="0" w:line="240" w:lineRule="auto"/>
      </w:pPr>
      <w:rPr>
        <w:b/>
        <w:bCs/>
      </w:rPr>
      <w:tblPr/>
      <w:tcPr>
        <w:tcBorders>
          <w:top w:val="single" w:sz="8" w:space="0" w:color="D02B27" w:themeColor="accent2"/>
          <w:left w:val="nil"/>
          <w:bottom w:val="single" w:sz="8" w:space="0" w:color="D02B2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C9C8" w:themeFill="accent2" w:themeFillTint="3F"/>
      </w:tcPr>
    </w:tblStylePr>
    <w:tblStylePr w:type="band1Horz">
      <w:tblPr/>
      <w:tcPr>
        <w:tcBorders>
          <w:left w:val="nil"/>
          <w:right w:val="nil"/>
          <w:insideH w:val="nil"/>
          <w:insideV w:val="nil"/>
        </w:tcBorders>
        <w:shd w:val="clear" w:color="auto" w:fill="F4C9C8" w:themeFill="accent2" w:themeFillTint="3F"/>
      </w:tcPr>
    </w:tblStylePr>
  </w:style>
  <w:style w:type="table" w:styleId="LightShading-Accent3">
    <w:name w:val="Light Shading Accent 3"/>
    <w:basedOn w:val="TableNormal"/>
    <w:unhideWhenUsed/>
    <w:rsid w:val="00DC0A72"/>
    <w:pPr>
      <w:spacing w:after="0" w:line="240" w:lineRule="auto"/>
    </w:pPr>
    <w:rPr>
      <w:color w:val="444D54" w:themeColor="accent3" w:themeShade="BF"/>
    </w:rPr>
    <w:tblPr>
      <w:tblStyleRowBandSize w:val="1"/>
      <w:tblStyleColBandSize w:val="1"/>
      <w:tblBorders>
        <w:top w:val="single" w:sz="8" w:space="0" w:color="5B6771" w:themeColor="accent3"/>
        <w:bottom w:val="single" w:sz="8" w:space="0" w:color="5B6771" w:themeColor="accent3"/>
      </w:tblBorders>
    </w:tblPr>
    <w:tblStylePr w:type="firstRow">
      <w:pPr>
        <w:spacing w:before="0" w:after="0" w:line="240" w:lineRule="auto"/>
      </w:pPr>
      <w:rPr>
        <w:b/>
        <w:bCs/>
      </w:rPr>
      <w:tblPr/>
      <w:tcPr>
        <w:tcBorders>
          <w:top w:val="single" w:sz="8" w:space="0" w:color="5B6771" w:themeColor="accent3"/>
          <w:left w:val="nil"/>
          <w:bottom w:val="single" w:sz="8" w:space="0" w:color="5B6771" w:themeColor="accent3"/>
          <w:right w:val="nil"/>
          <w:insideH w:val="nil"/>
          <w:insideV w:val="nil"/>
        </w:tcBorders>
      </w:tcPr>
    </w:tblStylePr>
    <w:tblStylePr w:type="lastRow">
      <w:pPr>
        <w:spacing w:before="0" w:after="0" w:line="240" w:lineRule="auto"/>
      </w:pPr>
      <w:rPr>
        <w:b/>
        <w:bCs/>
      </w:rPr>
      <w:tblPr/>
      <w:tcPr>
        <w:tcBorders>
          <w:top w:val="single" w:sz="8" w:space="0" w:color="5B6771" w:themeColor="accent3"/>
          <w:left w:val="nil"/>
          <w:bottom w:val="single" w:sz="8" w:space="0" w:color="5B677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9DD" w:themeFill="accent3" w:themeFillTint="3F"/>
      </w:tcPr>
    </w:tblStylePr>
    <w:tblStylePr w:type="band1Horz">
      <w:tblPr/>
      <w:tcPr>
        <w:tcBorders>
          <w:left w:val="nil"/>
          <w:right w:val="nil"/>
          <w:insideH w:val="nil"/>
          <w:insideV w:val="nil"/>
        </w:tcBorders>
        <w:shd w:val="clear" w:color="auto" w:fill="D5D9DD" w:themeFill="accent3" w:themeFillTint="3F"/>
      </w:tcPr>
    </w:tblStylePr>
  </w:style>
  <w:style w:type="table" w:styleId="LightShading-Accent4">
    <w:name w:val="Light Shading Accent 4"/>
    <w:basedOn w:val="TableNormal"/>
    <w:unhideWhenUsed/>
    <w:rsid w:val="00DC0A72"/>
    <w:pPr>
      <w:spacing w:after="0" w:line="240" w:lineRule="auto"/>
    </w:pPr>
    <w:rPr>
      <w:color w:val="BD8B0B" w:themeColor="accent4" w:themeShade="BF"/>
    </w:rPr>
    <w:tblPr>
      <w:tblStyleRowBandSize w:val="1"/>
      <w:tblStyleColBandSize w:val="1"/>
      <w:tblBorders>
        <w:top w:val="single" w:sz="8" w:space="0" w:color="F1B51C" w:themeColor="accent4"/>
        <w:bottom w:val="single" w:sz="8" w:space="0" w:color="F1B51C" w:themeColor="accent4"/>
      </w:tblBorders>
    </w:tblPr>
    <w:tblStylePr w:type="firstRow">
      <w:pPr>
        <w:spacing w:before="0" w:after="0" w:line="240" w:lineRule="auto"/>
      </w:pPr>
      <w:rPr>
        <w:b/>
        <w:bCs/>
      </w:rPr>
      <w:tblPr/>
      <w:tcPr>
        <w:tcBorders>
          <w:top w:val="single" w:sz="8" w:space="0" w:color="F1B51C" w:themeColor="accent4"/>
          <w:left w:val="nil"/>
          <w:bottom w:val="single" w:sz="8" w:space="0" w:color="F1B51C" w:themeColor="accent4"/>
          <w:right w:val="nil"/>
          <w:insideH w:val="nil"/>
          <w:insideV w:val="nil"/>
        </w:tcBorders>
      </w:tcPr>
    </w:tblStylePr>
    <w:tblStylePr w:type="lastRow">
      <w:pPr>
        <w:spacing w:before="0" w:after="0" w:line="240" w:lineRule="auto"/>
      </w:pPr>
      <w:rPr>
        <w:b/>
        <w:bCs/>
      </w:rPr>
      <w:tblPr/>
      <w:tcPr>
        <w:tcBorders>
          <w:top w:val="single" w:sz="8" w:space="0" w:color="F1B51C" w:themeColor="accent4"/>
          <w:left w:val="nil"/>
          <w:bottom w:val="single" w:sz="8" w:space="0" w:color="F1B51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ECC6" w:themeFill="accent4" w:themeFillTint="3F"/>
      </w:tcPr>
    </w:tblStylePr>
    <w:tblStylePr w:type="band1Horz">
      <w:tblPr/>
      <w:tcPr>
        <w:tcBorders>
          <w:left w:val="nil"/>
          <w:right w:val="nil"/>
          <w:insideH w:val="nil"/>
          <w:insideV w:val="nil"/>
        </w:tcBorders>
        <w:shd w:val="clear" w:color="auto" w:fill="FBECC6" w:themeFill="accent4" w:themeFillTint="3F"/>
      </w:tcPr>
    </w:tblStylePr>
  </w:style>
  <w:style w:type="table" w:styleId="LightShading-Accent5">
    <w:name w:val="Light Shading Accent 5"/>
    <w:basedOn w:val="TableNormal"/>
    <w:unhideWhenUsed/>
    <w:rsid w:val="00DC0A72"/>
    <w:pPr>
      <w:spacing w:after="0" w:line="240" w:lineRule="auto"/>
    </w:pPr>
    <w:rPr>
      <w:color w:val="126D6E" w:themeColor="accent5" w:themeShade="BF"/>
    </w:rPr>
    <w:tblPr>
      <w:tblStyleRowBandSize w:val="1"/>
      <w:tblStyleColBandSize w:val="1"/>
      <w:tblBorders>
        <w:top w:val="single" w:sz="8" w:space="0" w:color="189394" w:themeColor="accent5"/>
        <w:bottom w:val="single" w:sz="8" w:space="0" w:color="189394" w:themeColor="accent5"/>
      </w:tblBorders>
    </w:tblPr>
    <w:tblStylePr w:type="firstRow">
      <w:pPr>
        <w:spacing w:before="0" w:after="0" w:line="240" w:lineRule="auto"/>
      </w:pPr>
      <w:rPr>
        <w:b/>
        <w:bCs/>
      </w:rPr>
      <w:tblPr/>
      <w:tcPr>
        <w:tcBorders>
          <w:top w:val="single" w:sz="8" w:space="0" w:color="189394" w:themeColor="accent5"/>
          <w:left w:val="nil"/>
          <w:bottom w:val="single" w:sz="8" w:space="0" w:color="189394" w:themeColor="accent5"/>
          <w:right w:val="nil"/>
          <w:insideH w:val="nil"/>
          <w:insideV w:val="nil"/>
        </w:tcBorders>
      </w:tcPr>
    </w:tblStylePr>
    <w:tblStylePr w:type="lastRow">
      <w:pPr>
        <w:spacing w:before="0" w:after="0" w:line="240" w:lineRule="auto"/>
      </w:pPr>
      <w:rPr>
        <w:b/>
        <w:bCs/>
      </w:rPr>
      <w:tblPr/>
      <w:tcPr>
        <w:tcBorders>
          <w:top w:val="single" w:sz="8" w:space="0" w:color="189394" w:themeColor="accent5"/>
          <w:left w:val="nil"/>
          <w:bottom w:val="single" w:sz="8" w:space="0" w:color="18939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7F2F3" w:themeFill="accent5" w:themeFillTint="3F"/>
      </w:tcPr>
    </w:tblStylePr>
    <w:tblStylePr w:type="band1Horz">
      <w:tblPr/>
      <w:tcPr>
        <w:tcBorders>
          <w:left w:val="nil"/>
          <w:right w:val="nil"/>
          <w:insideH w:val="nil"/>
          <w:insideV w:val="nil"/>
        </w:tcBorders>
        <w:shd w:val="clear" w:color="auto" w:fill="B7F2F3" w:themeFill="accent5" w:themeFillTint="3F"/>
      </w:tcPr>
    </w:tblStylePr>
  </w:style>
  <w:style w:type="table" w:styleId="LightShading-Accent6">
    <w:name w:val="Light Shading Accent 6"/>
    <w:basedOn w:val="TableNormal"/>
    <w:unhideWhenUsed/>
    <w:rsid w:val="00DC0A72"/>
    <w:pPr>
      <w:spacing w:after="0" w:line="240" w:lineRule="auto"/>
    </w:pPr>
    <w:rPr>
      <w:color w:val="117C55" w:themeColor="accent6" w:themeShade="BF"/>
    </w:rPr>
    <w:tblPr>
      <w:tblStyleRowBandSize w:val="1"/>
      <w:tblStyleColBandSize w:val="1"/>
      <w:tblBorders>
        <w:top w:val="single" w:sz="8" w:space="0" w:color="17A673" w:themeColor="accent6"/>
        <w:bottom w:val="single" w:sz="8" w:space="0" w:color="17A673" w:themeColor="accent6"/>
      </w:tblBorders>
    </w:tblPr>
    <w:tblStylePr w:type="firstRow">
      <w:pPr>
        <w:spacing w:before="0" w:after="0" w:line="240" w:lineRule="auto"/>
      </w:pPr>
      <w:rPr>
        <w:b/>
        <w:bCs/>
      </w:rPr>
      <w:tblPr/>
      <w:tcPr>
        <w:tcBorders>
          <w:top w:val="single" w:sz="8" w:space="0" w:color="17A673" w:themeColor="accent6"/>
          <w:left w:val="nil"/>
          <w:bottom w:val="single" w:sz="8" w:space="0" w:color="17A673" w:themeColor="accent6"/>
          <w:right w:val="nil"/>
          <w:insideH w:val="nil"/>
          <w:insideV w:val="nil"/>
        </w:tcBorders>
      </w:tcPr>
    </w:tblStylePr>
    <w:tblStylePr w:type="lastRow">
      <w:pPr>
        <w:spacing w:before="0" w:after="0" w:line="240" w:lineRule="auto"/>
      </w:pPr>
      <w:rPr>
        <w:b/>
        <w:bCs/>
      </w:rPr>
      <w:tblPr/>
      <w:tcPr>
        <w:tcBorders>
          <w:top w:val="single" w:sz="8" w:space="0" w:color="17A673" w:themeColor="accent6"/>
          <w:left w:val="nil"/>
          <w:bottom w:val="single" w:sz="8" w:space="0" w:color="17A673"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5DF" w:themeFill="accent6" w:themeFillTint="3F"/>
      </w:tcPr>
    </w:tblStylePr>
    <w:tblStylePr w:type="band1Horz">
      <w:tblPr/>
      <w:tcPr>
        <w:tcBorders>
          <w:left w:val="nil"/>
          <w:right w:val="nil"/>
          <w:insideH w:val="nil"/>
          <w:insideV w:val="nil"/>
        </w:tcBorders>
        <w:shd w:val="clear" w:color="auto" w:fill="B9F5DF" w:themeFill="accent6" w:themeFillTint="3F"/>
      </w:tcPr>
    </w:tblStylePr>
  </w:style>
  <w:style w:type="character" w:styleId="LineNumber">
    <w:name w:val="line number"/>
    <w:basedOn w:val="DefaultParagraphFont"/>
    <w:semiHidden/>
    <w:rsid w:val="00DC0A72"/>
  </w:style>
  <w:style w:type="paragraph" w:styleId="ListContinue4">
    <w:name w:val="List Continue 4"/>
    <w:basedOn w:val="Normal"/>
    <w:semiHidden/>
    <w:rsid w:val="00DC0A72"/>
    <w:pPr>
      <w:spacing w:after="120"/>
      <w:ind w:left="720"/>
      <w:contextualSpacing/>
    </w:pPr>
  </w:style>
  <w:style w:type="paragraph" w:styleId="ListContinue5">
    <w:name w:val="List Continue 5"/>
    <w:basedOn w:val="Normal"/>
    <w:semiHidden/>
    <w:rsid w:val="00DC0A72"/>
    <w:pPr>
      <w:spacing w:after="120"/>
      <w:ind w:left="1080"/>
      <w:contextualSpacing/>
    </w:pPr>
  </w:style>
  <w:style w:type="table" w:styleId="ListTable1Light">
    <w:name w:val="List Table 1 Light"/>
    <w:basedOn w:val="TableNormal"/>
    <w:rsid w:val="00DC0A72"/>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rsid w:val="00DC0A72"/>
    <w:pPr>
      <w:spacing w:after="0" w:line="240" w:lineRule="auto"/>
    </w:pPr>
    <w:tblPr>
      <w:tblStyleRowBandSize w:val="1"/>
      <w:tblStyleColBandSize w:val="1"/>
    </w:tblPr>
    <w:tblStylePr w:type="firstRow">
      <w:rPr>
        <w:b/>
        <w:bCs/>
      </w:rPr>
      <w:tblPr/>
      <w:tcPr>
        <w:tcBorders>
          <w:bottom w:val="single" w:sz="4" w:space="0" w:color="217BDD" w:themeColor="accent1" w:themeTint="99"/>
        </w:tcBorders>
      </w:tcPr>
    </w:tblStylePr>
    <w:tblStylePr w:type="lastRow">
      <w:rPr>
        <w:b/>
        <w:bCs/>
      </w:rPr>
      <w:tblPr/>
      <w:tcPr>
        <w:tcBorders>
          <w:top w:val="single" w:sz="4" w:space="0" w:color="217BDD" w:themeColor="accent1" w:themeTint="99"/>
        </w:tcBorders>
      </w:tc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table" w:styleId="ListTable1Light-Accent2">
    <w:name w:val="List Table 1 Light Accent 2"/>
    <w:basedOn w:val="TableNormal"/>
    <w:rsid w:val="00DC0A72"/>
    <w:pPr>
      <w:spacing w:after="0" w:line="240" w:lineRule="auto"/>
    </w:pPr>
    <w:tblPr>
      <w:tblStyleRowBandSize w:val="1"/>
      <w:tblStyleColBandSize w:val="1"/>
    </w:tblPr>
    <w:tblStylePr w:type="firstRow">
      <w:rPr>
        <w:b/>
        <w:bCs/>
      </w:rPr>
      <w:tblPr/>
      <w:tcPr>
        <w:tcBorders>
          <w:bottom w:val="single" w:sz="4" w:space="0" w:color="E67C79" w:themeColor="accent2" w:themeTint="99"/>
        </w:tcBorders>
      </w:tcPr>
    </w:tblStylePr>
    <w:tblStylePr w:type="lastRow">
      <w:rPr>
        <w:b/>
        <w:bCs/>
      </w:rPr>
      <w:tblPr/>
      <w:tcPr>
        <w:tcBorders>
          <w:top w:val="single" w:sz="4" w:space="0" w:color="E67C79" w:themeColor="accent2" w:themeTint="99"/>
        </w:tcBorders>
      </w:tc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ListTable1Light-Accent3">
    <w:name w:val="List Table 1 Light Accent 3"/>
    <w:basedOn w:val="TableNormal"/>
    <w:rsid w:val="00DC0A72"/>
    <w:pPr>
      <w:spacing w:after="0" w:line="240" w:lineRule="auto"/>
    </w:pPr>
    <w:tblPr>
      <w:tblStyleRowBandSize w:val="1"/>
      <w:tblStyleColBandSize w:val="1"/>
    </w:tblPr>
    <w:tblStylePr w:type="firstRow">
      <w:rPr>
        <w:b/>
        <w:bCs/>
      </w:rPr>
      <w:tblPr/>
      <w:tcPr>
        <w:tcBorders>
          <w:bottom w:val="single" w:sz="4" w:space="0" w:color="99A4AD" w:themeColor="accent3" w:themeTint="99"/>
        </w:tcBorders>
      </w:tcPr>
    </w:tblStylePr>
    <w:tblStylePr w:type="lastRow">
      <w:rPr>
        <w:b/>
        <w:bCs/>
      </w:rPr>
      <w:tblPr/>
      <w:tcPr>
        <w:tcBorders>
          <w:top w:val="single" w:sz="4" w:space="0" w:color="99A4AD" w:themeColor="accent3" w:themeTint="99"/>
        </w:tcBorders>
      </w:tc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ListTable1Light-Accent4">
    <w:name w:val="List Table 1 Light Accent 4"/>
    <w:basedOn w:val="TableNormal"/>
    <w:rsid w:val="00DC0A72"/>
    <w:pPr>
      <w:spacing w:after="0" w:line="240" w:lineRule="auto"/>
    </w:pPr>
    <w:tblPr>
      <w:tblStyleRowBandSize w:val="1"/>
      <w:tblStyleColBandSize w:val="1"/>
    </w:tblPr>
    <w:tblStylePr w:type="firstRow">
      <w:rPr>
        <w:b/>
        <w:bCs/>
      </w:rPr>
      <w:tblPr/>
      <w:tcPr>
        <w:tcBorders>
          <w:bottom w:val="single" w:sz="4" w:space="0" w:color="F6D276" w:themeColor="accent4" w:themeTint="99"/>
        </w:tcBorders>
      </w:tcPr>
    </w:tblStylePr>
    <w:tblStylePr w:type="lastRow">
      <w:rPr>
        <w:b/>
        <w:bCs/>
      </w:rPr>
      <w:tblPr/>
      <w:tcPr>
        <w:tcBorders>
          <w:top w:val="single" w:sz="4" w:space="0" w:color="F6D276" w:themeColor="accent4" w:themeTint="99"/>
        </w:tcBorders>
      </w:tc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ListTable1Light-Accent5">
    <w:name w:val="List Table 1 Light Accent 5"/>
    <w:basedOn w:val="TableNormal"/>
    <w:rsid w:val="00DC0A72"/>
    <w:pPr>
      <w:spacing w:after="0" w:line="240" w:lineRule="auto"/>
    </w:pPr>
    <w:tblPr>
      <w:tblStyleRowBandSize w:val="1"/>
      <w:tblStyleColBandSize w:val="1"/>
    </w:tblPr>
    <w:tblStylePr w:type="firstRow">
      <w:rPr>
        <w:b/>
        <w:bCs/>
      </w:rPr>
      <w:tblPr/>
      <w:tcPr>
        <w:tcBorders>
          <w:bottom w:val="single" w:sz="4" w:space="0" w:color="50E1E2" w:themeColor="accent5" w:themeTint="99"/>
        </w:tcBorders>
      </w:tcPr>
    </w:tblStylePr>
    <w:tblStylePr w:type="lastRow">
      <w:rPr>
        <w:b/>
        <w:bCs/>
      </w:rPr>
      <w:tblPr/>
      <w:tcPr>
        <w:tcBorders>
          <w:top w:val="single" w:sz="4" w:space="0" w:color="50E1E2" w:themeColor="accent5" w:themeTint="99"/>
        </w:tcBorders>
      </w:tc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ListTable1Light-Accent6">
    <w:name w:val="List Table 1 Light Accent 6"/>
    <w:basedOn w:val="TableNormal"/>
    <w:rsid w:val="00DC0A72"/>
    <w:pPr>
      <w:spacing w:after="0" w:line="240" w:lineRule="auto"/>
    </w:pPr>
    <w:tblPr>
      <w:tblStyleRowBandSize w:val="1"/>
      <w:tblStyleColBandSize w:val="1"/>
    </w:tblPr>
    <w:tblStylePr w:type="firstRow">
      <w:rPr>
        <w:b/>
        <w:bCs/>
      </w:rPr>
      <w:tblPr/>
      <w:tcPr>
        <w:tcBorders>
          <w:bottom w:val="single" w:sz="4" w:space="0" w:color="55E7B3" w:themeColor="accent6" w:themeTint="99"/>
        </w:tcBorders>
      </w:tcPr>
    </w:tblStylePr>
    <w:tblStylePr w:type="lastRow">
      <w:rPr>
        <w:b/>
        <w:bCs/>
      </w:rPr>
      <w:tblPr/>
      <w:tcPr>
        <w:tcBorders>
          <w:top w:val="single" w:sz="4" w:space="0" w:color="55E7B3" w:themeColor="accent6" w:themeTint="99"/>
        </w:tcBorders>
      </w:tc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ListTable2">
    <w:name w:val="List Table 2"/>
    <w:basedOn w:val="TableNormal"/>
    <w:rsid w:val="00DC0A72"/>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rsid w:val="00DC0A72"/>
    <w:pPr>
      <w:spacing w:after="0" w:line="240" w:lineRule="auto"/>
    </w:pPr>
    <w:tblPr>
      <w:tblStyleRowBandSize w:val="1"/>
      <w:tblStyleColBandSize w:val="1"/>
      <w:tblBorders>
        <w:top w:val="single" w:sz="4" w:space="0" w:color="217BDD" w:themeColor="accent1" w:themeTint="99"/>
        <w:bottom w:val="single" w:sz="4" w:space="0" w:color="217BDD" w:themeColor="accent1" w:themeTint="99"/>
        <w:insideH w:val="single" w:sz="4" w:space="0" w:color="217BDD"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table" w:styleId="ListTable2-Accent2">
    <w:name w:val="List Table 2 Accent 2"/>
    <w:basedOn w:val="TableNormal"/>
    <w:rsid w:val="00DC0A72"/>
    <w:pPr>
      <w:spacing w:after="0" w:line="240" w:lineRule="auto"/>
    </w:pPr>
    <w:tblPr>
      <w:tblStyleRowBandSize w:val="1"/>
      <w:tblStyleColBandSize w:val="1"/>
      <w:tblBorders>
        <w:top w:val="single" w:sz="4" w:space="0" w:color="E67C79" w:themeColor="accent2" w:themeTint="99"/>
        <w:bottom w:val="single" w:sz="4" w:space="0" w:color="E67C79" w:themeColor="accent2" w:themeTint="99"/>
        <w:insideH w:val="single" w:sz="4" w:space="0" w:color="E67C7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ListTable2-Accent3">
    <w:name w:val="List Table 2 Accent 3"/>
    <w:basedOn w:val="TableNormal"/>
    <w:rsid w:val="00DC0A72"/>
    <w:pPr>
      <w:spacing w:after="0" w:line="240" w:lineRule="auto"/>
    </w:pPr>
    <w:tblPr>
      <w:tblStyleRowBandSize w:val="1"/>
      <w:tblStyleColBandSize w:val="1"/>
      <w:tblBorders>
        <w:top w:val="single" w:sz="4" w:space="0" w:color="99A4AD" w:themeColor="accent3" w:themeTint="99"/>
        <w:bottom w:val="single" w:sz="4" w:space="0" w:color="99A4AD" w:themeColor="accent3" w:themeTint="99"/>
        <w:insideH w:val="single" w:sz="4" w:space="0" w:color="99A4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ListTable2-Accent4">
    <w:name w:val="List Table 2 Accent 4"/>
    <w:basedOn w:val="TableNormal"/>
    <w:rsid w:val="00DC0A72"/>
    <w:pPr>
      <w:spacing w:after="0" w:line="240" w:lineRule="auto"/>
    </w:pPr>
    <w:tblPr>
      <w:tblStyleRowBandSize w:val="1"/>
      <w:tblStyleColBandSize w:val="1"/>
      <w:tblBorders>
        <w:top w:val="single" w:sz="4" w:space="0" w:color="F6D276" w:themeColor="accent4" w:themeTint="99"/>
        <w:bottom w:val="single" w:sz="4" w:space="0" w:color="F6D276" w:themeColor="accent4" w:themeTint="99"/>
        <w:insideH w:val="single" w:sz="4" w:space="0" w:color="F6D27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ListTable2-Accent5">
    <w:name w:val="List Table 2 Accent 5"/>
    <w:basedOn w:val="TableNormal"/>
    <w:rsid w:val="00DC0A72"/>
    <w:pPr>
      <w:spacing w:after="0" w:line="240" w:lineRule="auto"/>
    </w:pPr>
    <w:tblPr>
      <w:tblStyleRowBandSize w:val="1"/>
      <w:tblStyleColBandSize w:val="1"/>
      <w:tblBorders>
        <w:top w:val="single" w:sz="4" w:space="0" w:color="50E1E2" w:themeColor="accent5" w:themeTint="99"/>
        <w:bottom w:val="single" w:sz="4" w:space="0" w:color="50E1E2" w:themeColor="accent5" w:themeTint="99"/>
        <w:insideH w:val="single" w:sz="4" w:space="0" w:color="50E1E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ListTable2-Accent6">
    <w:name w:val="List Table 2 Accent 6"/>
    <w:basedOn w:val="TableNormal"/>
    <w:rsid w:val="00DC0A72"/>
    <w:pPr>
      <w:spacing w:after="0" w:line="240" w:lineRule="auto"/>
    </w:pPr>
    <w:tblPr>
      <w:tblStyleRowBandSize w:val="1"/>
      <w:tblStyleColBandSize w:val="1"/>
      <w:tblBorders>
        <w:top w:val="single" w:sz="4" w:space="0" w:color="55E7B3" w:themeColor="accent6" w:themeTint="99"/>
        <w:bottom w:val="single" w:sz="4" w:space="0" w:color="55E7B3" w:themeColor="accent6" w:themeTint="99"/>
        <w:insideH w:val="single" w:sz="4" w:space="0" w:color="55E7B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ListTable3">
    <w:name w:val="List Table 3"/>
    <w:basedOn w:val="TableNormal"/>
    <w:rsid w:val="00DC0A7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rsid w:val="00DC0A72"/>
    <w:pPr>
      <w:spacing w:after="0" w:line="240" w:lineRule="auto"/>
    </w:pPr>
    <w:tblPr>
      <w:tblStyleRowBandSize w:val="1"/>
      <w:tblStyleColBandSize w:val="1"/>
      <w:tblBorders>
        <w:top w:val="single" w:sz="4" w:space="0" w:color="0B2949" w:themeColor="accent1"/>
        <w:left w:val="single" w:sz="4" w:space="0" w:color="0B2949" w:themeColor="accent1"/>
        <w:bottom w:val="single" w:sz="4" w:space="0" w:color="0B2949" w:themeColor="accent1"/>
        <w:right w:val="single" w:sz="4" w:space="0" w:color="0B2949" w:themeColor="accent1"/>
      </w:tblBorders>
    </w:tblPr>
    <w:tblStylePr w:type="firstRow">
      <w:rPr>
        <w:b/>
        <w:bCs/>
        <w:color w:val="FFFFFF" w:themeColor="background1"/>
      </w:rPr>
      <w:tblPr/>
      <w:tcPr>
        <w:shd w:val="clear" w:color="auto" w:fill="0B2949" w:themeFill="accent1"/>
      </w:tcPr>
    </w:tblStylePr>
    <w:tblStylePr w:type="lastRow">
      <w:rPr>
        <w:b/>
        <w:bCs/>
      </w:rPr>
      <w:tblPr/>
      <w:tcPr>
        <w:tcBorders>
          <w:top w:val="double" w:sz="4" w:space="0" w:color="0B294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B2949" w:themeColor="accent1"/>
          <w:right w:val="single" w:sz="4" w:space="0" w:color="0B2949" w:themeColor="accent1"/>
        </w:tcBorders>
      </w:tcPr>
    </w:tblStylePr>
    <w:tblStylePr w:type="band1Horz">
      <w:tblPr/>
      <w:tcPr>
        <w:tcBorders>
          <w:top w:val="single" w:sz="4" w:space="0" w:color="0B2949" w:themeColor="accent1"/>
          <w:bottom w:val="single" w:sz="4" w:space="0" w:color="0B294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B2949" w:themeColor="accent1"/>
          <w:left w:val="nil"/>
        </w:tcBorders>
      </w:tcPr>
    </w:tblStylePr>
    <w:tblStylePr w:type="swCell">
      <w:tblPr/>
      <w:tcPr>
        <w:tcBorders>
          <w:top w:val="double" w:sz="4" w:space="0" w:color="0B2949" w:themeColor="accent1"/>
          <w:right w:val="nil"/>
        </w:tcBorders>
      </w:tcPr>
    </w:tblStylePr>
  </w:style>
  <w:style w:type="table" w:styleId="ListTable3-Accent2">
    <w:name w:val="List Table 3 Accent 2"/>
    <w:basedOn w:val="TableNormal"/>
    <w:rsid w:val="00DC0A72"/>
    <w:pPr>
      <w:spacing w:after="0" w:line="240" w:lineRule="auto"/>
    </w:pPr>
    <w:tblPr>
      <w:tblStyleRowBandSize w:val="1"/>
      <w:tblStyleColBandSize w:val="1"/>
      <w:tblBorders>
        <w:top w:val="single" w:sz="4" w:space="0" w:color="D02B27" w:themeColor="accent2"/>
        <w:left w:val="single" w:sz="4" w:space="0" w:color="D02B27" w:themeColor="accent2"/>
        <w:bottom w:val="single" w:sz="4" w:space="0" w:color="D02B27" w:themeColor="accent2"/>
        <w:right w:val="single" w:sz="4" w:space="0" w:color="D02B27" w:themeColor="accent2"/>
      </w:tblBorders>
    </w:tblPr>
    <w:tblStylePr w:type="firstRow">
      <w:rPr>
        <w:b/>
        <w:bCs/>
        <w:color w:val="FFFFFF" w:themeColor="background1"/>
      </w:rPr>
      <w:tblPr/>
      <w:tcPr>
        <w:shd w:val="clear" w:color="auto" w:fill="D02B27" w:themeFill="accent2"/>
      </w:tcPr>
    </w:tblStylePr>
    <w:tblStylePr w:type="lastRow">
      <w:rPr>
        <w:b/>
        <w:bCs/>
      </w:rPr>
      <w:tblPr/>
      <w:tcPr>
        <w:tcBorders>
          <w:top w:val="double" w:sz="4" w:space="0" w:color="D02B2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02B27" w:themeColor="accent2"/>
          <w:right w:val="single" w:sz="4" w:space="0" w:color="D02B27" w:themeColor="accent2"/>
        </w:tcBorders>
      </w:tcPr>
    </w:tblStylePr>
    <w:tblStylePr w:type="band1Horz">
      <w:tblPr/>
      <w:tcPr>
        <w:tcBorders>
          <w:top w:val="single" w:sz="4" w:space="0" w:color="D02B27" w:themeColor="accent2"/>
          <w:bottom w:val="single" w:sz="4" w:space="0" w:color="D02B2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02B27" w:themeColor="accent2"/>
          <w:left w:val="nil"/>
        </w:tcBorders>
      </w:tcPr>
    </w:tblStylePr>
    <w:tblStylePr w:type="swCell">
      <w:tblPr/>
      <w:tcPr>
        <w:tcBorders>
          <w:top w:val="double" w:sz="4" w:space="0" w:color="D02B27" w:themeColor="accent2"/>
          <w:right w:val="nil"/>
        </w:tcBorders>
      </w:tcPr>
    </w:tblStylePr>
  </w:style>
  <w:style w:type="table" w:styleId="ListTable3-Accent3">
    <w:name w:val="List Table 3 Accent 3"/>
    <w:basedOn w:val="TableNormal"/>
    <w:rsid w:val="00DC0A72"/>
    <w:pPr>
      <w:spacing w:after="0" w:line="240" w:lineRule="auto"/>
    </w:pPr>
    <w:tblPr>
      <w:tblStyleRowBandSize w:val="1"/>
      <w:tblStyleColBandSize w:val="1"/>
      <w:tblBorders>
        <w:top w:val="single" w:sz="4" w:space="0" w:color="5B6771" w:themeColor="accent3"/>
        <w:left w:val="single" w:sz="4" w:space="0" w:color="5B6771" w:themeColor="accent3"/>
        <w:bottom w:val="single" w:sz="4" w:space="0" w:color="5B6771" w:themeColor="accent3"/>
        <w:right w:val="single" w:sz="4" w:space="0" w:color="5B6771" w:themeColor="accent3"/>
      </w:tblBorders>
    </w:tblPr>
    <w:tblStylePr w:type="firstRow">
      <w:rPr>
        <w:b/>
        <w:bCs/>
        <w:color w:val="FFFFFF" w:themeColor="background1"/>
      </w:rPr>
      <w:tblPr/>
      <w:tcPr>
        <w:shd w:val="clear" w:color="auto" w:fill="5B6771" w:themeFill="accent3"/>
      </w:tcPr>
    </w:tblStylePr>
    <w:tblStylePr w:type="lastRow">
      <w:rPr>
        <w:b/>
        <w:bCs/>
      </w:rPr>
      <w:tblPr/>
      <w:tcPr>
        <w:tcBorders>
          <w:top w:val="double" w:sz="4" w:space="0" w:color="5B6771"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6771" w:themeColor="accent3"/>
          <w:right w:val="single" w:sz="4" w:space="0" w:color="5B6771" w:themeColor="accent3"/>
        </w:tcBorders>
      </w:tcPr>
    </w:tblStylePr>
    <w:tblStylePr w:type="band1Horz">
      <w:tblPr/>
      <w:tcPr>
        <w:tcBorders>
          <w:top w:val="single" w:sz="4" w:space="0" w:color="5B6771" w:themeColor="accent3"/>
          <w:bottom w:val="single" w:sz="4" w:space="0" w:color="5B6771"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6771" w:themeColor="accent3"/>
          <w:left w:val="nil"/>
        </w:tcBorders>
      </w:tcPr>
    </w:tblStylePr>
    <w:tblStylePr w:type="swCell">
      <w:tblPr/>
      <w:tcPr>
        <w:tcBorders>
          <w:top w:val="double" w:sz="4" w:space="0" w:color="5B6771" w:themeColor="accent3"/>
          <w:right w:val="nil"/>
        </w:tcBorders>
      </w:tcPr>
    </w:tblStylePr>
  </w:style>
  <w:style w:type="table" w:styleId="ListTable3-Accent4">
    <w:name w:val="List Table 3 Accent 4"/>
    <w:basedOn w:val="TableNormal"/>
    <w:rsid w:val="00DC0A72"/>
    <w:pPr>
      <w:spacing w:after="0" w:line="240" w:lineRule="auto"/>
    </w:pPr>
    <w:tblPr>
      <w:tblStyleRowBandSize w:val="1"/>
      <w:tblStyleColBandSize w:val="1"/>
      <w:tblBorders>
        <w:top w:val="single" w:sz="4" w:space="0" w:color="F1B51C" w:themeColor="accent4"/>
        <w:left w:val="single" w:sz="4" w:space="0" w:color="F1B51C" w:themeColor="accent4"/>
        <w:bottom w:val="single" w:sz="4" w:space="0" w:color="F1B51C" w:themeColor="accent4"/>
        <w:right w:val="single" w:sz="4" w:space="0" w:color="F1B51C" w:themeColor="accent4"/>
      </w:tblBorders>
    </w:tblPr>
    <w:tblStylePr w:type="firstRow">
      <w:rPr>
        <w:b/>
        <w:bCs/>
        <w:color w:val="FFFFFF" w:themeColor="background1"/>
      </w:rPr>
      <w:tblPr/>
      <w:tcPr>
        <w:shd w:val="clear" w:color="auto" w:fill="F1B51C" w:themeFill="accent4"/>
      </w:tcPr>
    </w:tblStylePr>
    <w:tblStylePr w:type="lastRow">
      <w:rPr>
        <w:b/>
        <w:bCs/>
      </w:rPr>
      <w:tblPr/>
      <w:tcPr>
        <w:tcBorders>
          <w:top w:val="double" w:sz="4" w:space="0" w:color="F1B51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1B51C" w:themeColor="accent4"/>
          <w:right w:val="single" w:sz="4" w:space="0" w:color="F1B51C" w:themeColor="accent4"/>
        </w:tcBorders>
      </w:tcPr>
    </w:tblStylePr>
    <w:tblStylePr w:type="band1Horz">
      <w:tblPr/>
      <w:tcPr>
        <w:tcBorders>
          <w:top w:val="single" w:sz="4" w:space="0" w:color="F1B51C" w:themeColor="accent4"/>
          <w:bottom w:val="single" w:sz="4" w:space="0" w:color="F1B51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1B51C" w:themeColor="accent4"/>
          <w:left w:val="nil"/>
        </w:tcBorders>
      </w:tcPr>
    </w:tblStylePr>
    <w:tblStylePr w:type="swCell">
      <w:tblPr/>
      <w:tcPr>
        <w:tcBorders>
          <w:top w:val="double" w:sz="4" w:space="0" w:color="F1B51C" w:themeColor="accent4"/>
          <w:right w:val="nil"/>
        </w:tcBorders>
      </w:tcPr>
    </w:tblStylePr>
  </w:style>
  <w:style w:type="table" w:styleId="ListTable3-Accent5">
    <w:name w:val="List Table 3 Accent 5"/>
    <w:basedOn w:val="TableNormal"/>
    <w:rsid w:val="00DC0A72"/>
    <w:pPr>
      <w:spacing w:after="0" w:line="240" w:lineRule="auto"/>
    </w:pPr>
    <w:tblPr>
      <w:tblStyleRowBandSize w:val="1"/>
      <w:tblStyleColBandSize w:val="1"/>
      <w:tblBorders>
        <w:top w:val="single" w:sz="4" w:space="0" w:color="189394" w:themeColor="accent5"/>
        <w:left w:val="single" w:sz="4" w:space="0" w:color="189394" w:themeColor="accent5"/>
        <w:bottom w:val="single" w:sz="4" w:space="0" w:color="189394" w:themeColor="accent5"/>
        <w:right w:val="single" w:sz="4" w:space="0" w:color="189394" w:themeColor="accent5"/>
      </w:tblBorders>
    </w:tblPr>
    <w:tblStylePr w:type="firstRow">
      <w:rPr>
        <w:b/>
        <w:bCs/>
        <w:color w:val="FFFFFF" w:themeColor="background1"/>
      </w:rPr>
      <w:tblPr/>
      <w:tcPr>
        <w:shd w:val="clear" w:color="auto" w:fill="189394" w:themeFill="accent5"/>
      </w:tcPr>
    </w:tblStylePr>
    <w:tblStylePr w:type="lastRow">
      <w:rPr>
        <w:b/>
        <w:bCs/>
      </w:rPr>
      <w:tblPr/>
      <w:tcPr>
        <w:tcBorders>
          <w:top w:val="double" w:sz="4" w:space="0" w:color="18939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89394" w:themeColor="accent5"/>
          <w:right w:val="single" w:sz="4" w:space="0" w:color="189394" w:themeColor="accent5"/>
        </w:tcBorders>
      </w:tcPr>
    </w:tblStylePr>
    <w:tblStylePr w:type="band1Horz">
      <w:tblPr/>
      <w:tcPr>
        <w:tcBorders>
          <w:top w:val="single" w:sz="4" w:space="0" w:color="189394" w:themeColor="accent5"/>
          <w:bottom w:val="single" w:sz="4" w:space="0" w:color="18939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9394" w:themeColor="accent5"/>
          <w:left w:val="nil"/>
        </w:tcBorders>
      </w:tcPr>
    </w:tblStylePr>
    <w:tblStylePr w:type="swCell">
      <w:tblPr/>
      <w:tcPr>
        <w:tcBorders>
          <w:top w:val="double" w:sz="4" w:space="0" w:color="189394" w:themeColor="accent5"/>
          <w:right w:val="nil"/>
        </w:tcBorders>
      </w:tcPr>
    </w:tblStylePr>
  </w:style>
  <w:style w:type="table" w:styleId="ListTable3-Accent6">
    <w:name w:val="List Table 3 Accent 6"/>
    <w:basedOn w:val="TableNormal"/>
    <w:rsid w:val="00DC0A72"/>
    <w:pPr>
      <w:spacing w:after="0" w:line="240" w:lineRule="auto"/>
    </w:pPr>
    <w:tblPr>
      <w:tblStyleRowBandSize w:val="1"/>
      <w:tblStyleColBandSize w:val="1"/>
      <w:tblBorders>
        <w:top w:val="single" w:sz="4" w:space="0" w:color="17A673" w:themeColor="accent6"/>
        <w:left w:val="single" w:sz="4" w:space="0" w:color="17A673" w:themeColor="accent6"/>
        <w:bottom w:val="single" w:sz="4" w:space="0" w:color="17A673" w:themeColor="accent6"/>
        <w:right w:val="single" w:sz="4" w:space="0" w:color="17A673" w:themeColor="accent6"/>
      </w:tblBorders>
    </w:tblPr>
    <w:tblStylePr w:type="firstRow">
      <w:rPr>
        <w:b/>
        <w:bCs/>
        <w:color w:val="FFFFFF" w:themeColor="background1"/>
      </w:rPr>
      <w:tblPr/>
      <w:tcPr>
        <w:shd w:val="clear" w:color="auto" w:fill="17A673" w:themeFill="accent6"/>
      </w:tcPr>
    </w:tblStylePr>
    <w:tblStylePr w:type="lastRow">
      <w:rPr>
        <w:b/>
        <w:bCs/>
      </w:rPr>
      <w:tblPr/>
      <w:tcPr>
        <w:tcBorders>
          <w:top w:val="double" w:sz="4" w:space="0" w:color="17A673"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7A673" w:themeColor="accent6"/>
          <w:right w:val="single" w:sz="4" w:space="0" w:color="17A673" w:themeColor="accent6"/>
        </w:tcBorders>
      </w:tcPr>
    </w:tblStylePr>
    <w:tblStylePr w:type="band1Horz">
      <w:tblPr/>
      <w:tcPr>
        <w:tcBorders>
          <w:top w:val="single" w:sz="4" w:space="0" w:color="17A673" w:themeColor="accent6"/>
          <w:bottom w:val="single" w:sz="4" w:space="0" w:color="17A673"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7A673" w:themeColor="accent6"/>
          <w:left w:val="nil"/>
        </w:tcBorders>
      </w:tcPr>
    </w:tblStylePr>
    <w:tblStylePr w:type="swCell">
      <w:tblPr/>
      <w:tcPr>
        <w:tcBorders>
          <w:top w:val="double" w:sz="4" w:space="0" w:color="17A673" w:themeColor="accent6"/>
          <w:right w:val="nil"/>
        </w:tcBorders>
      </w:tcPr>
    </w:tblStylePr>
  </w:style>
  <w:style w:type="table" w:styleId="ListTable4">
    <w:name w:val="List Table 4"/>
    <w:basedOn w:val="TableNormal"/>
    <w:rsid w:val="00DC0A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rsid w:val="00DC0A72"/>
    <w:pPr>
      <w:spacing w:after="0" w:line="240" w:lineRule="auto"/>
    </w:pPr>
    <w:tblPr>
      <w:tblStyleRowBandSize w:val="1"/>
      <w:tblStyleColBandSize w:val="1"/>
      <w:tblBorders>
        <w:top w:val="single" w:sz="4" w:space="0" w:color="217BDD" w:themeColor="accent1" w:themeTint="99"/>
        <w:left w:val="single" w:sz="4" w:space="0" w:color="217BDD" w:themeColor="accent1" w:themeTint="99"/>
        <w:bottom w:val="single" w:sz="4" w:space="0" w:color="217BDD" w:themeColor="accent1" w:themeTint="99"/>
        <w:right w:val="single" w:sz="4" w:space="0" w:color="217BDD" w:themeColor="accent1" w:themeTint="99"/>
        <w:insideH w:val="single" w:sz="4" w:space="0" w:color="217BDD" w:themeColor="accent1" w:themeTint="99"/>
      </w:tblBorders>
    </w:tblPr>
    <w:tblStylePr w:type="firstRow">
      <w:rPr>
        <w:b/>
        <w:bCs/>
        <w:color w:val="FFFFFF" w:themeColor="background1"/>
      </w:rPr>
      <w:tblPr/>
      <w:tcPr>
        <w:tcBorders>
          <w:top w:val="single" w:sz="4" w:space="0" w:color="0B2949" w:themeColor="accent1"/>
          <w:left w:val="single" w:sz="4" w:space="0" w:color="0B2949" w:themeColor="accent1"/>
          <w:bottom w:val="single" w:sz="4" w:space="0" w:color="0B2949" w:themeColor="accent1"/>
          <w:right w:val="single" w:sz="4" w:space="0" w:color="0B2949" w:themeColor="accent1"/>
          <w:insideH w:val="nil"/>
        </w:tcBorders>
        <w:shd w:val="clear" w:color="auto" w:fill="0B2949" w:themeFill="accent1"/>
      </w:tcPr>
    </w:tblStylePr>
    <w:tblStylePr w:type="lastRow">
      <w:rPr>
        <w:b/>
        <w:bCs/>
      </w:rPr>
      <w:tblPr/>
      <w:tcPr>
        <w:tcBorders>
          <w:top w:val="double" w:sz="4" w:space="0" w:color="217BDD" w:themeColor="accent1" w:themeTint="99"/>
        </w:tcBorders>
      </w:tc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table" w:styleId="ListTable4-Accent2">
    <w:name w:val="List Table 4 Accent 2"/>
    <w:basedOn w:val="TableNormal"/>
    <w:rsid w:val="00DC0A72"/>
    <w:pPr>
      <w:spacing w:after="0" w:line="240" w:lineRule="auto"/>
    </w:pPr>
    <w:tblPr>
      <w:tblStyleRowBandSize w:val="1"/>
      <w:tblStyleColBandSize w:val="1"/>
      <w:tblBorders>
        <w:top w:val="single" w:sz="4" w:space="0" w:color="E67C79" w:themeColor="accent2" w:themeTint="99"/>
        <w:left w:val="single" w:sz="4" w:space="0" w:color="E67C79" w:themeColor="accent2" w:themeTint="99"/>
        <w:bottom w:val="single" w:sz="4" w:space="0" w:color="E67C79" w:themeColor="accent2" w:themeTint="99"/>
        <w:right w:val="single" w:sz="4" w:space="0" w:color="E67C79" w:themeColor="accent2" w:themeTint="99"/>
        <w:insideH w:val="single" w:sz="4" w:space="0" w:color="E67C79" w:themeColor="accent2" w:themeTint="99"/>
      </w:tblBorders>
    </w:tblPr>
    <w:tblStylePr w:type="firstRow">
      <w:rPr>
        <w:b/>
        <w:bCs/>
        <w:color w:val="FFFFFF" w:themeColor="background1"/>
      </w:rPr>
      <w:tblPr/>
      <w:tcPr>
        <w:tcBorders>
          <w:top w:val="single" w:sz="4" w:space="0" w:color="D02B27" w:themeColor="accent2"/>
          <w:left w:val="single" w:sz="4" w:space="0" w:color="D02B27" w:themeColor="accent2"/>
          <w:bottom w:val="single" w:sz="4" w:space="0" w:color="D02B27" w:themeColor="accent2"/>
          <w:right w:val="single" w:sz="4" w:space="0" w:color="D02B27" w:themeColor="accent2"/>
          <w:insideH w:val="nil"/>
        </w:tcBorders>
        <w:shd w:val="clear" w:color="auto" w:fill="D02B27" w:themeFill="accent2"/>
      </w:tcPr>
    </w:tblStylePr>
    <w:tblStylePr w:type="lastRow">
      <w:rPr>
        <w:b/>
        <w:bCs/>
      </w:rPr>
      <w:tblPr/>
      <w:tcPr>
        <w:tcBorders>
          <w:top w:val="double" w:sz="4" w:space="0" w:color="E67C79" w:themeColor="accent2" w:themeTint="99"/>
        </w:tcBorders>
      </w:tc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ListTable4-Accent3">
    <w:name w:val="List Table 4 Accent 3"/>
    <w:basedOn w:val="TableNormal"/>
    <w:rsid w:val="00DC0A72"/>
    <w:pPr>
      <w:spacing w:after="0" w:line="240" w:lineRule="auto"/>
    </w:pPr>
    <w:tblPr>
      <w:tblStyleRowBandSize w:val="1"/>
      <w:tblStyleColBandSize w:val="1"/>
      <w:tblBorders>
        <w:top w:val="single" w:sz="4" w:space="0" w:color="99A4AD" w:themeColor="accent3" w:themeTint="99"/>
        <w:left w:val="single" w:sz="4" w:space="0" w:color="99A4AD" w:themeColor="accent3" w:themeTint="99"/>
        <w:bottom w:val="single" w:sz="4" w:space="0" w:color="99A4AD" w:themeColor="accent3" w:themeTint="99"/>
        <w:right w:val="single" w:sz="4" w:space="0" w:color="99A4AD" w:themeColor="accent3" w:themeTint="99"/>
        <w:insideH w:val="single" w:sz="4" w:space="0" w:color="99A4AD" w:themeColor="accent3" w:themeTint="99"/>
      </w:tblBorders>
    </w:tblPr>
    <w:tblStylePr w:type="firstRow">
      <w:rPr>
        <w:b/>
        <w:bCs/>
        <w:color w:val="FFFFFF" w:themeColor="background1"/>
      </w:rPr>
      <w:tblPr/>
      <w:tcPr>
        <w:tcBorders>
          <w:top w:val="single" w:sz="4" w:space="0" w:color="5B6771" w:themeColor="accent3"/>
          <w:left w:val="single" w:sz="4" w:space="0" w:color="5B6771" w:themeColor="accent3"/>
          <w:bottom w:val="single" w:sz="4" w:space="0" w:color="5B6771" w:themeColor="accent3"/>
          <w:right w:val="single" w:sz="4" w:space="0" w:color="5B6771" w:themeColor="accent3"/>
          <w:insideH w:val="nil"/>
        </w:tcBorders>
        <w:shd w:val="clear" w:color="auto" w:fill="5B6771" w:themeFill="accent3"/>
      </w:tcPr>
    </w:tblStylePr>
    <w:tblStylePr w:type="lastRow">
      <w:rPr>
        <w:b/>
        <w:bCs/>
      </w:rPr>
      <w:tblPr/>
      <w:tcPr>
        <w:tcBorders>
          <w:top w:val="double" w:sz="4" w:space="0" w:color="99A4AD" w:themeColor="accent3" w:themeTint="99"/>
        </w:tcBorders>
      </w:tc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ListTable4-Accent4">
    <w:name w:val="List Table 4 Accent 4"/>
    <w:basedOn w:val="TableNormal"/>
    <w:rsid w:val="00DC0A72"/>
    <w:pPr>
      <w:spacing w:after="0" w:line="240" w:lineRule="auto"/>
    </w:pPr>
    <w:tblPr>
      <w:tblStyleRowBandSize w:val="1"/>
      <w:tblStyleColBandSize w:val="1"/>
      <w:tblBorders>
        <w:top w:val="single" w:sz="4" w:space="0" w:color="F6D276" w:themeColor="accent4" w:themeTint="99"/>
        <w:left w:val="single" w:sz="4" w:space="0" w:color="F6D276" w:themeColor="accent4" w:themeTint="99"/>
        <w:bottom w:val="single" w:sz="4" w:space="0" w:color="F6D276" w:themeColor="accent4" w:themeTint="99"/>
        <w:right w:val="single" w:sz="4" w:space="0" w:color="F6D276" w:themeColor="accent4" w:themeTint="99"/>
        <w:insideH w:val="single" w:sz="4" w:space="0" w:color="F6D276" w:themeColor="accent4" w:themeTint="99"/>
      </w:tblBorders>
    </w:tblPr>
    <w:tblStylePr w:type="firstRow">
      <w:rPr>
        <w:b/>
        <w:bCs/>
        <w:color w:val="FFFFFF" w:themeColor="background1"/>
      </w:rPr>
      <w:tblPr/>
      <w:tcPr>
        <w:tcBorders>
          <w:top w:val="single" w:sz="4" w:space="0" w:color="F1B51C" w:themeColor="accent4"/>
          <w:left w:val="single" w:sz="4" w:space="0" w:color="F1B51C" w:themeColor="accent4"/>
          <w:bottom w:val="single" w:sz="4" w:space="0" w:color="F1B51C" w:themeColor="accent4"/>
          <w:right w:val="single" w:sz="4" w:space="0" w:color="F1B51C" w:themeColor="accent4"/>
          <w:insideH w:val="nil"/>
        </w:tcBorders>
        <w:shd w:val="clear" w:color="auto" w:fill="F1B51C" w:themeFill="accent4"/>
      </w:tcPr>
    </w:tblStylePr>
    <w:tblStylePr w:type="lastRow">
      <w:rPr>
        <w:b/>
        <w:bCs/>
      </w:rPr>
      <w:tblPr/>
      <w:tcPr>
        <w:tcBorders>
          <w:top w:val="double" w:sz="4" w:space="0" w:color="F6D276" w:themeColor="accent4" w:themeTint="99"/>
        </w:tcBorders>
      </w:tc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ListTable4-Accent5">
    <w:name w:val="List Table 4 Accent 5"/>
    <w:basedOn w:val="TableNormal"/>
    <w:rsid w:val="00DC0A72"/>
    <w:pPr>
      <w:spacing w:after="0" w:line="240" w:lineRule="auto"/>
    </w:pPr>
    <w:tblPr>
      <w:tblStyleRowBandSize w:val="1"/>
      <w:tblStyleColBandSize w:val="1"/>
      <w:tblBorders>
        <w:top w:val="single" w:sz="4" w:space="0" w:color="50E1E2" w:themeColor="accent5" w:themeTint="99"/>
        <w:left w:val="single" w:sz="4" w:space="0" w:color="50E1E2" w:themeColor="accent5" w:themeTint="99"/>
        <w:bottom w:val="single" w:sz="4" w:space="0" w:color="50E1E2" w:themeColor="accent5" w:themeTint="99"/>
        <w:right w:val="single" w:sz="4" w:space="0" w:color="50E1E2" w:themeColor="accent5" w:themeTint="99"/>
        <w:insideH w:val="single" w:sz="4" w:space="0" w:color="50E1E2" w:themeColor="accent5" w:themeTint="99"/>
      </w:tblBorders>
    </w:tblPr>
    <w:tblStylePr w:type="firstRow">
      <w:rPr>
        <w:b/>
        <w:bCs/>
        <w:color w:val="FFFFFF" w:themeColor="background1"/>
      </w:rPr>
      <w:tblPr/>
      <w:tcPr>
        <w:tcBorders>
          <w:top w:val="single" w:sz="4" w:space="0" w:color="189394" w:themeColor="accent5"/>
          <w:left w:val="single" w:sz="4" w:space="0" w:color="189394" w:themeColor="accent5"/>
          <w:bottom w:val="single" w:sz="4" w:space="0" w:color="189394" w:themeColor="accent5"/>
          <w:right w:val="single" w:sz="4" w:space="0" w:color="189394" w:themeColor="accent5"/>
          <w:insideH w:val="nil"/>
        </w:tcBorders>
        <w:shd w:val="clear" w:color="auto" w:fill="189394" w:themeFill="accent5"/>
      </w:tcPr>
    </w:tblStylePr>
    <w:tblStylePr w:type="lastRow">
      <w:rPr>
        <w:b/>
        <w:bCs/>
      </w:rPr>
      <w:tblPr/>
      <w:tcPr>
        <w:tcBorders>
          <w:top w:val="double" w:sz="4" w:space="0" w:color="50E1E2" w:themeColor="accent5" w:themeTint="99"/>
        </w:tcBorders>
      </w:tc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ListTable4-Accent6">
    <w:name w:val="List Table 4 Accent 6"/>
    <w:basedOn w:val="TableNormal"/>
    <w:rsid w:val="00DC0A72"/>
    <w:pPr>
      <w:spacing w:after="0" w:line="240" w:lineRule="auto"/>
    </w:pPr>
    <w:tblPr>
      <w:tblStyleRowBandSize w:val="1"/>
      <w:tblStyleColBandSize w:val="1"/>
      <w:tblBorders>
        <w:top w:val="single" w:sz="4" w:space="0" w:color="55E7B3" w:themeColor="accent6" w:themeTint="99"/>
        <w:left w:val="single" w:sz="4" w:space="0" w:color="55E7B3" w:themeColor="accent6" w:themeTint="99"/>
        <w:bottom w:val="single" w:sz="4" w:space="0" w:color="55E7B3" w:themeColor="accent6" w:themeTint="99"/>
        <w:right w:val="single" w:sz="4" w:space="0" w:color="55E7B3" w:themeColor="accent6" w:themeTint="99"/>
        <w:insideH w:val="single" w:sz="4" w:space="0" w:color="55E7B3" w:themeColor="accent6" w:themeTint="99"/>
      </w:tblBorders>
    </w:tblPr>
    <w:tblStylePr w:type="firstRow">
      <w:rPr>
        <w:b/>
        <w:bCs/>
        <w:color w:val="FFFFFF" w:themeColor="background1"/>
      </w:rPr>
      <w:tblPr/>
      <w:tcPr>
        <w:tcBorders>
          <w:top w:val="single" w:sz="4" w:space="0" w:color="17A673" w:themeColor="accent6"/>
          <w:left w:val="single" w:sz="4" w:space="0" w:color="17A673" w:themeColor="accent6"/>
          <w:bottom w:val="single" w:sz="4" w:space="0" w:color="17A673" w:themeColor="accent6"/>
          <w:right w:val="single" w:sz="4" w:space="0" w:color="17A673" w:themeColor="accent6"/>
          <w:insideH w:val="nil"/>
        </w:tcBorders>
        <w:shd w:val="clear" w:color="auto" w:fill="17A673" w:themeFill="accent6"/>
      </w:tcPr>
    </w:tblStylePr>
    <w:tblStylePr w:type="lastRow">
      <w:rPr>
        <w:b/>
        <w:bCs/>
      </w:rPr>
      <w:tblPr/>
      <w:tcPr>
        <w:tcBorders>
          <w:top w:val="double" w:sz="4" w:space="0" w:color="55E7B3" w:themeColor="accent6" w:themeTint="99"/>
        </w:tcBorders>
      </w:tc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ListTable5Dark">
    <w:name w:val="List Table 5 Dark"/>
    <w:basedOn w:val="TableNormal"/>
    <w:rsid w:val="00DC0A72"/>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rsid w:val="00DC0A72"/>
    <w:pPr>
      <w:spacing w:after="0" w:line="240" w:lineRule="auto"/>
    </w:pPr>
    <w:rPr>
      <w:color w:val="FFFFFF" w:themeColor="background1"/>
    </w:rPr>
    <w:tblPr>
      <w:tblStyleRowBandSize w:val="1"/>
      <w:tblStyleColBandSize w:val="1"/>
      <w:tblBorders>
        <w:top w:val="single" w:sz="24" w:space="0" w:color="0B2949" w:themeColor="accent1"/>
        <w:left w:val="single" w:sz="24" w:space="0" w:color="0B2949" w:themeColor="accent1"/>
        <w:bottom w:val="single" w:sz="24" w:space="0" w:color="0B2949" w:themeColor="accent1"/>
        <w:right w:val="single" w:sz="24" w:space="0" w:color="0B2949" w:themeColor="accent1"/>
      </w:tblBorders>
    </w:tblPr>
    <w:tcPr>
      <w:shd w:val="clear" w:color="auto" w:fill="0B294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rsid w:val="00DC0A72"/>
    <w:pPr>
      <w:spacing w:after="0" w:line="240" w:lineRule="auto"/>
    </w:pPr>
    <w:rPr>
      <w:color w:val="FFFFFF" w:themeColor="background1"/>
    </w:rPr>
    <w:tblPr>
      <w:tblStyleRowBandSize w:val="1"/>
      <w:tblStyleColBandSize w:val="1"/>
      <w:tblBorders>
        <w:top w:val="single" w:sz="24" w:space="0" w:color="D02B27" w:themeColor="accent2"/>
        <w:left w:val="single" w:sz="24" w:space="0" w:color="D02B27" w:themeColor="accent2"/>
        <w:bottom w:val="single" w:sz="24" w:space="0" w:color="D02B27" w:themeColor="accent2"/>
        <w:right w:val="single" w:sz="24" w:space="0" w:color="D02B27" w:themeColor="accent2"/>
      </w:tblBorders>
    </w:tblPr>
    <w:tcPr>
      <w:shd w:val="clear" w:color="auto" w:fill="D02B2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rsid w:val="00DC0A72"/>
    <w:pPr>
      <w:spacing w:after="0" w:line="240" w:lineRule="auto"/>
    </w:pPr>
    <w:rPr>
      <w:color w:val="FFFFFF" w:themeColor="background1"/>
    </w:rPr>
    <w:tblPr>
      <w:tblStyleRowBandSize w:val="1"/>
      <w:tblStyleColBandSize w:val="1"/>
      <w:tblBorders>
        <w:top w:val="single" w:sz="24" w:space="0" w:color="5B6771" w:themeColor="accent3"/>
        <w:left w:val="single" w:sz="24" w:space="0" w:color="5B6771" w:themeColor="accent3"/>
        <w:bottom w:val="single" w:sz="24" w:space="0" w:color="5B6771" w:themeColor="accent3"/>
        <w:right w:val="single" w:sz="24" w:space="0" w:color="5B6771" w:themeColor="accent3"/>
      </w:tblBorders>
    </w:tblPr>
    <w:tcPr>
      <w:shd w:val="clear" w:color="auto" w:fill="5B6771"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rsid w:val="00DC0A72"/>
    <w:pPr>
      <w:spacing w:after="0" w:line="240" w:lineRule="auto"/>
    </w:pPr>
    <w:rPr>
      <w:color w:val="FFFFFF" w:themeColor="background1"/>
    </w:rPr>
    <w:tblPr>
      <w:tblStyleRowBandSize w:val="1"/>
      <w:tblStyleColBandSize w:val="1"/>
      <w:tblBorders>
        <w:top w:val="single" w:sz="24" w:space="0" w:color="F1B51C" w:themeColor="accent4"/>
        <w:left w:val="single" w:sz="24" w:space="0" w:color="F1B51C" w:themeColor="accent4"/>
        <w:bottom w:val="single" w:sz="24" w:space="0" w:color="F1B51C" w:themeColor="accent4"/>
        <w:right w:val="single" w:sz="24" w:space="0" w:color="F1B51C" w:themeColor="accent4"/>
      </w:tblBorders>
    </w:tblPr>
    <w:tcPr>
      <w:shd w:val="clear" w:color="auto" w:fill="F1B51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rsid w:val="00DC0A72"/>
    <w:pPr>
      <w:spacing w:after="0" w:line="240" w:lineRule="auto"/>
    </w:pPr>
    <w:rPr>
      <w:color w:val="FFFFFF" w:themeColor="background1"/>
    </w:rPr>
    <w:tblPr>
      <w:tblStyleRowBandSize w:val="1"/>
      <w:tblStyleColBandSize w:val="1"/>
      <w:tblBorders>
        <w:top w:val="single" w:sz="24" w:space="0" w:color="189394" w:themeColor="accent5"/>
        <w:left w:val="single" w:sz="24" w:space="0" w:color="189394" w:themeColor="accent5"/>
        <w:bottom w:val="single" w:sz="24" w:space="0" w:color="189394" w:themeColor="accent5"/>
        <w:right w:val="single" w:sz="24" w:space="0" w:color="189394" w:themeColor="accent5"/>
      </w:tblBorders>
    </w:tblPr>
    <w:tcPr>
      <w:shd w:val="clear" w:color="auto" w:fill="18939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rsid w:val="00DC0A72"/>
    <w:pPr>
      <w:spacing w:after="0" w:line="240" w:lineRule="auto"/>
    </w:pPr>
    <w:rPr>
      <w:color w:val="FFFFFF" w:themeColor="background1"/>
    </w:rPr>
    <w:tblPr>
      <w:tblStyleRowBandSize w:val="1"/>
      <w:tblStyleColBandSize w:val="1"/>
      <w:tblBorders>
        <w:top w:val="single" w:sz="24" w:space="0" w:color="17A673" w:themeColor="accent6"/>
        <w:left w:val="single" w:sz="24" w:space="0" w:color="17A673" w:themeColor="accent6"/>
        <w:bottom w:val="single" w:sz="24" w:space="0" w:color="17A673" w:themeColor="accent6"/>
        <w:right w:val="single" w:sz="24" w:space="0" w:color="17A673" w:themeColor="accent6"/>
      </w:tblBorders>
    </w:tblPr>
    <w:tcPr>
      <w:shd w:val="clear" w:color="auto" w:fill="17A673"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rsid w:val="00DC0A72"/>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rsid w:val="00DC0A72"/>
    <w:pPr>
      <w:spacing w:after="0" w:line="240" w:lineRule="auto"/>
    </w:pPr>
    <w:rPr>
      <w:color w:val="081E36" w:themeColor="accent1" w:themeShade="BF"/>
    </w:rPr>
    <w:tblPr>
      <w:tblStyleRowBandSize w:val="1"/>
      <w:tblStyleColBandSize w:val="1"/>
      <w:tblBorders>
        <w:top w:val="single" w:sz="4" w:space="0" w:color="0B2949" w:themeColor="accent1"/>
        <w:bottom w:val="single" w:sz="4" w:space="0" w:color="0B2949" w:themeColor="accent1"/>
      </w:tblBorders>
    </w:tblPr>
    <w:tblStylePr w:type="firstRow">
      <w:rPr>
        <w:b/>
        <w:bCs/>
      </w:rPr>
      <w:tblPr/>
      <w:tcPr>
        <w:tcBorders>
          <w:bottom w:val="single" w:sz="4" w:space="0" w:color="0B2949" w:themeColor="accent1"/>
        </w:tcBorders>
      </w:tcPr>
    </w:tblStylePr>
    <w:tblStylePr w:type="lastRow">
      <w:rPr>
        <w:b/>
        <w:bCs/>
      </w:rPr>
      <w:tblPr/>
      <w:tcPr>
        <w:tcBorders>
          <w:top w:val="double" w:sz="4" w:space="0" w:color="0B2949" w:themeColor="accent1"/>
        </w:tcBorders>
      </w:tcPr>
    </w:tblStylePr>
    <w:tblStylePr w:type="firstCol">
      <w:rPr>
        <w:b/>
        <w:bCs/>
      </w:rPr>
    </w:tblStylePr>
    <w:tblStylePr w:type="lastCol">
      <w:rPr>
        <w:b/>
        <w:bCs/>
      </w:rPr>
    </w:tblStylePr>
    <w:tblStylePr w:type="band1Vert">
      <w:tblPr/>
      <w:tcPr>
        <w:shd w:val="clear" w:color="auto" w:fill="B4D3F3" w:themeFill="accent1" w:themeFillTint="33"/>
      </w:tcPr>
    </w:tblStylePr>
    <w:tblStylePr w:type="band1Horz">
      <w:tblPr/>
      <w:tcPr>
        <w:shd w:val="clear" w:color="auto" w:fill="B4D3F3" w:themeFill="accent1" w:themeFillTint="33"/>
      </w:tcPr>
    </w:tblStylePr>
  </w:style>
  <w:style w:type="table" w:styleId="ListTable6Colorful-Accent2">
    <w:name w:val="List Table 6 Colorful Accent 2"/>
    <w:basedOn w:val="TableNormal"/>
    <w:rsid w:val="00DC0A72"/>
    <w:pPr>
      <w:spacing w:after="0" w:line="240" w:lineRule="auto"/>
    </w:pPr>
    <w:rPr>
      <w:color w:val="9B201D" w:themeColor="accent2" w:themeShade="BF"/>
    </w:rPr>
    <w:tblPr>
      <w:tblStyleRowBandSize w:val="1"/>
      <w:tblStyleColBandSize w:val="1"/>
      <w:tblBorders>
        <w:top w:val="single" w:sz="4" w:space="0" w:color="D02B27" w:themeColor="accent2"/>
        <w:bottom w:val="single" w:sz="4" w:space="0" w:color="D02B27" w:themeColor="accent2"/>
      </w:tblBorders>
    </w:tblPr>
    <w:tblStylePr w:type="firstRow">
      <w:rPr>
        <w:b/>
        <w:bCs/>
      </w:rPr>
      <w:tblPr/>
      <w:tcPr>
        <w:tcBorders>
          <w:bottom w:val="single" w:sz="4" w:space="0" w:color="D02B27" w:themeColor="accent2"/>
        </w:tcBorders>
      </w:tcPr>
    </w:tblStylePr>
    <w:tblStylePr w:type="lastRow">
      <w:rPr>
        <w:b/>
        <w:bCs/>
      </w:rPr>
      <w:tblPr/>
      <w:tcPr>
        <w:tcBorders>
          <w:top w:val="double" w:sz="4" w:space="0" w:color="D02B27" w:themeColor="accent2"/>
        </w:tcBorders>
      </w:tcPr>
    </w:tblStylePr>
    <w:tblStylePr w:type="firstCol">
      <w:rPr>
        <w:b/>
        <w:bCs/>
      </w:rPr>
    </w:tblStylePr>
    <w:tblStylePr w:type="lastCol">
      <w:rPr>
        <w:b/>
        <w:bCs/>
      </w:rPr>
    </w:tblStylePr>
    <w:tblStylePr w:type="band1Vert">
      <w:tblPr/>
      <w:tcPr>
        <w:shd w:val="clear" w:color="auto" w:fill="F6D3D2" w:themeFill="accent2" w:themeFillTint="33"/>
      </w:tcPr>
    </w:tblStylePr>
    <w:tblStylePr w:type="band1Horz">
      <w:tblPr/>
      <w:tcPr>
        <w:shd w:val="clear" w:color="auto" w:fill="F6D3D2" w:themeFill="accent2" w:themeFillTint="33"/>
      </w:tcPr>
    </w:tblStylePr>
  </w:style>
  <w:style w:type="table" w:styleId="ListTable6Colorful-Accent3">
    <w:name w:val="List Table 6 Colorful Accent 3"/>
    <w:basedOn w:val="TableNormal"/>
    <w:rsid w:val="00DC0A72"/>
    <w:pPr>
      <w:spacing w:after="0" w:line="240" w:lineRule="auto"/>
    </w:pPr>
    <w:rPr>
      <w:color w:val="444D54" w:themeColor="accent3" w:themeShade="BF"/>
    </w:rPr>
    <w:tblPr>
      <w:tblStyleRowBandSize w:val="1"/>
      <w:tblStyleColBandSize w:val="1"/>
      <w:tblBorders>
        <w:top w:val="single" w:sz="4" w:space="0" w:color="5B6771" w:themeColor="accent3"/>
        <w:bottom w:val="single" w:sz="4" w:space="0" w:color="5B6771" w:themeColor="accent3"/>
      </w:tblBorders>
    </w:tblPr>
    <w:tblStylePr w:type="firstRow">
      <w:rPr>
        <w:b/>
        <w:bCs/>
      </w:rPr>
      <w:tblPr/>
      <w:tcPr>
        <w:tcBorders>
          <w:bottom w:val="single" w:sz="4" w:space="0" w:color="5B6771" w:themeColor="accent3"/>
        </w:tcBorders>
      </w:tcPr>
    </w:tblStylePr>
    <w:tblStylePr w:type="lastRow">
      <w:rPr>
        <w:b/>
        <w:bCs/>
      </w:rPr>
      <w:tblPr/>
      <w:tcPr>
        <w:tcBorders>
          <w:top w:val="double" w:sz="4" w:space="0" w:color="5B6771" w:themeColor="accent3"/>
        </w:tcBorders>
      </w:tcPr>
    </w:tblStylePr>
    <w:tblStylePr w:type="firstCol">
      <w:rPr>
        <w:b/>
        <w:bCs/>
      </w:rPr>
    </w:tblStylePr>
    <w:tblStylePr w:type="lastCol">
      <w:rPr>
        <w:b/>
        <w:bCs/>
      </w:rPr>
    </w:tblStylePr>
    <w:tblStylePr w:type="band1Vert">
      <w:tblPr/>
      <w:tcPr>
        <w:shd w:val="clear" w:color="auto" w:fill="DDE0E3" w:themeFill="accent3" w:themeFillTint="33"/>
      </w:tcPr>
    </w:tblStylePr>
    <w:tblStylePr w:type="band1Horz">
      <w:tblPr/>
      <w:tcPr>
        <w:shd w:val="clear" w:color="auto" w:fill="DDE0E3" w:themeFill="accent3" w:themeFillTint="33"/>
      </w:tcPr>
    </w:tblStylePr>
  </w:style>
  <w:style w:type="table" w:styleId="ListTable6Colorful-Accent4">
    <w:name w:val="List Table 6 Colorful Accent 4"/>
    <w:basedOn w:val="TableNormal"/>
    <w:rsid w:val="00DC0A72"/>
    <w:pPr>
      <w:spacing w:after="0" w:line="240" w:lineRule="auto"/>
    </w:pPr>
    <w:rPr>
      <w:color w:val="BD8B0B" w:themeColor="accent4" w:themeShade="BF"/>
    </w:rPr>
    <w:tblPr>
      <w:tblStyleRowBandSize w:val="1"/>
      <w:tblStyleColBandSize w:val="1"/>
      <w:tblBorders>
        <w:top w:val="single" w:sz="4" w:space="0" w:color="F1B51C" w:themeColor="accent4"/>
        <w:bottom w:val="single" w:sz="4" w:space="0" w:color="F1B51C" w:themeColor="accent4"/>
      </w:tblBorders>
    </w:tblPr>
    <w:tblStylePr w:type="firstRow">
      <w:rPr>
        <w:b/>
        <w:bCs/>
      </w:rPr>
      <w:tblPr/>
      <w:tcPr>
        <w:tcBorders>
          <w:bottom w:val="single" w:sz="4" w:space="0" w:color="F1B51C" w:themeColor="accent4"/>
        </w:tcBorders>
      </w:tcPr>
    </w:tblStylePr>
    <w:tblStylePr w:type="lastRow">
      <w:rPr>
        <w:b/>
        <w:bCs/>
      </w:rPr>
      <w:tblPr/>
      <w:tcPr>
        <w:tcBorders>
          <w:top w:val="double" w:sz="4" w:space="0" w:color="F1B51C" w:themeColor="accent4"/>
        </w:tcBorders>
      </w:tcPr>
    </w:tblStylePr>
    <w:tblStylePr w:type="firstCol">
      <w:rPr>
        <w:b/>
        <w:bCs/>
      </w:rPr>
    </w:tblStylePr>
    <w:tblStylePr w:type="lastCol">
      <w:rPr>
        <w:b/>
        <w:bCs/>
      </w:rPr>
    </w:tblStylePr>
    <w:tblStylePr w:type="band1Vert">
      <w:tblPr/>
      <w:tcPr>
        <w:shd w:val="clear" w:color="auto" w:fill="FCF0D1" w:themeFill="accent4" w:themeFillTint="33"/>
      </w:tcPr>
    </w:tblStylePr>
    <w:tblStylePr w:type="band1Horz">
      <w:tblPr/>
      <w:tcPr>
        <w:shd w:val="clear" w:color="auto" w:fill="FCF0D1" w:themeFill="accent4" w:themeFillTint="33"/>
      </w:tcPr>
    </w:tblStylePr>
  </w:style>
  <w:style w:type="table" w:styleId="ListTable6Colorful-Accent5">
    <w:name w:val="List Table 6 Colorful Accent 5"/>
    <w:basedOn w:val="TableNormal"/>
    <w:rsid w:val="00DC0A72"/>
    <w:pPr>
      <w:spacing w:after="0" w:line="240" w:lineRule="auto"/>
    </w:pPr>
    <w:rPr>
      <w:color w:val="126D6E" w:themeColor="accent5" w:themeShade="BF"/>
    </w:rPr>
    <w:tblPr>
      <w:tblStyleRowBandSize w:val="1"/>
      <w:tblStyleColBandSize w:val="1"/>
      <w:tblBorders>
        <w:top w:val="single" w:sz="4" w:space="0" w:color="189394" w:themeColor="accent5"/>
        <w:bottom w:val="single" w:sz="4" w:space="0" w:color="189394" w:themeColor="accent5"/>
      </w:tblBorders>
    </w:tblPr>
    <w:tblStylePr w:type="firstRow">
      <w:rPr>
        <w:b/>
        <w:bCs/>
      </w:rPr>
      <w:tblPr/>
      <w:tcPr>
        <w:tcBorders>
          <w:bottom w:val="single" w:sz="4" w:space="0" w:color="189394" w:themeColor="accent5"/>
        </w:tcBorders>
      </w:tcPr>
    </w:tblStylePr>
    <w:tblStylePr w:type="lastRow">
      <w:rPr>
        <w:b/>
        <w:bCs/>
      </w:rPr>
      <w:tblPr/>
      <w:tcPr>
        <w:tcBorders>
          <w:top w:val="double" w:sz="4" w:space="0" w:color="189394" w:themeColor="accent5"/>
        </w:tcBorders>
      </w:tcPr>
    </w:tblStylePr>
    <w:tblStylePr w:type="firstCol">
      <w:rPr>
        <w:b/>
        <w:bCs/>
      </w:rPr>
    </w:tblStylePr>
    <w:tblStylePr w:type="lastCol">
      <w:rPr>
        <w:b/>
        <w:bCs/>
      </w:rPr>
    </w:tblStylePr>
    <w:tblStylePr w:type="band1Vert">
      <w:tblPr/>
      <w:tcPr>
        <w:shd w:val="clear" w:color="auto" w:fill="C4F5F5" w:themeFill="accent5" w:themeFillTint="33"/>
      </w:tcPr>
    </w:tblStylePr>
    <w:tblStylePr w:type="band1Horz">
      <w:tblPr/>
      <w:tcPr>
        <w:shd w:val="clear" w:color="auto" w:fill="C4F5F5" w:themeFill="accent5" w:themeFillTint="33"/>
      </w:tcPr>
    </w:tblStylePr>
  </w:style>
  <w:style w:type="table" w:styleId="ListTable6Colorful-Accent6">
    <w:name w:val="List Table 6 Colorful Accent 6"/>
    <w:basedOn w:val="TableNormal"/>
    <w:rsid w:val="00DC0A72"/>
    <w:pPr>
      <w:spacing w:after="0" w:line="240" w:lineRule="auto"/>
    </w:pPr>
    <w:rPr>
      <w:color w:val="117C55" w:themeColor="accent6" w:themeShade="BF"/>
    </w:rPr>
    <w:tblPr>
      <w:tblStyleRowBandSize w:val="1"/>
      <w:tblStyleColBandSize w:val="1"/>
      <w:tblBorders>
        <w:top w:val="single" w:sz="4" w:space="0" w:color="17A673" w:themeColor="accent6"/>
        <w:bottom w:val="single" w:sz="4" w:space="0" w:color="17A673" w:themeColor="accent6"/>
      </w:tblBorders>
    </w:tblPr>
    <w:tblStylePr w:type="firstRow">
      <w:rPr>
        <w:b/>
        <w:bCs/>
      </w:rPr>
      <w:tblPr/>
      <w:tcPr>
        <w:tcBorders>
          <w:bottom w:val="single" w:sz="4" w:space="0" w:color="17A673" w:themeColor="accent6"/>
        </w:tcBorders>
      </w:tcPr>
    </w:tblStylePr>
    <w:tblStylePr w:type="lastRow">
      <w:rPr>
        <w:b/>
        <w:bCs/>
      </w:rPr>
      <w:tblPr/>
      <w:tcPr>
        <w:tcBorders>
          <w:top w:val="double" w:sz="4" w:space="0" w:color="17A673" w:themeColor="accent6"/>
        </w:tcBorders>
      </w:tcPr>
    </w:tblStylePr>
    <w:tblStylePr w:type="firstCol">
      <w:rPr>
        <w:b/>
        <w:bCs/>
      </w:rPr>
    </w:tblStylePr>
    <w:tblStylePr w:type="lastCol">
      <w:rPr>
        <w:b/>
        <w:bCs/>
      </w:rPr>
    </w:tblStylePr>
    <w:tblStylePr w:type="band1Vert">
      <w:tblPr/>
      <w:tcPr>
        <w:shd w:val="clear" w:color="auto" w:fill="C6F7E5" w:themeFill="accent6" w:themeFillTint="33"/>
      </w:tcPr>
    </w:tblStylePr>
    <w:tblStylePr w:type="band1Horz">
      <w:tblPr/>
      <w:tcPr>
        <w:shd w:val="clear" w:color="auto" w:fill="C6F7E5" w:themeFill="accent6" w:themeFillTint="33"/>
      </w:tcPr>
    </w:tblStylePr>
  </w:style>
  <w:style w:type="table" w:styleId="ListTable7Colorful">
    <w:name w:val="List Table 7 Colorful"/>
    <w:basedOn w:val="TableNormal"/>
    <w:rsid w:val="00DC0A7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rsid w:val="00DC0A72"/>
    <w:pPr>
      <w:spacing w:after="0" w:line="240" w:lineRule="auto"/>
    </w:pPr>
    <w:rPr>
      <w:color w:val="081E3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B294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B294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B294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B2949" w:themeColor="accent1"/>
        </w:tcBorders>
        <w:shd w:val="clear" w:color="auto" w:fill="FFFFFF" w:themeFill="background1"/>
      </w:tcPr>
    </w:tblStylePr>
    <w:tblStylePr w:type="band1Vert">
      <w:tblPr/>
      <w:tcPr>
        <w:shd w:val="clear" w:color="auto" w:fill="B4D3F3" w:themeFill="accent1" w:themeFillTint="33"/>
      </w:tcPr>
    </w:tblStylePr>
    <w:tblStylePr w:type="band1Horz">
      <w:tblPr/>
      <w:tcPr>
        <w:shd w:val="clear" w:color="auto" w:fill="B4D3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rsid w:val="00DC0A72"/>
    <w:pPr>
      <w:spacing w:after="0" w:line="240" w:lineRule="auto"/>
    </w:pPr>
    <w:rPr>
      <w:color w:val="9B201D"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02B2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02B2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02B2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02B27" w:themeColor="accent2"/>
        </w:tcBorders>
        <w:shd w:val="clear" w:color="auto" w:fill="FFFFFF" w:themeFill="background1"/>
      </w:tcPr>
    </w:tblStylePr>
    <w:tblStylePr w:type="band1Vert">
      <w:tblPr/>
      <w:tcPr>
        <w:shd w:val="clear" w:color="auto" w:fill="F6D3D2" w:themeFill="accent2" w:themeFillTint="33"/>
      </w:tcPr>
    </w:tblStylePr>
    <w:tblStylePr w:type="band1Horz">
      <w:tblPr/>
      <w:tcPr>
        <w:shd w:val="clear" w:color="auto" w:fill="F6D3D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rsid w:val="00DC0A72"/>
    <w:pPr>
      <w:spacing w:after="0" w:line="240" w:lineRule="auto"/>
    </w:pPr>
    <w:rPr>
      <w:color w:val="444D54"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677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677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677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6771" w:themeColor="accent3"/>
        </w:tcBorders>
        <w:shd w:val="clear" w:color="auto" w:fill="FFFFFF" w:themeFill="background1"/>
      </w:tcPr>
    </w:tblStylePr>
    <w:tblStylePr w:type="band1Vert">
      <w:tblPr/>
      <w:tcPr>
        <w:shd w:val="clear" w:color="auto" w:fill="DDE0E3" w:themeFill="accent3" w:themeFillTint="33"/>
      </w:tcPr>
    </w:tblStylePr>
    <w:tblStylePr w:type="band1Horz">
      <w:tblPr/>
      <w:tcPr>
        <w:shd w:val="clear" w:color="auto" w:fill="DDE0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rsid w:val="00DC0A72"/>
    <w:pPr>
      <w:spacing w:after="0" w:line="240" w:lineRule="auto"/>
    </w:pPr>
    <w:rPr>
      <w:color w:val="BD8B0B"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1B51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1B51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1B51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1B51C" w:themeColor="accent4"/>
        </w:tcBorders>
        <w:shd w:val="clear" w:color="auto" w:fill="FFFFFF" w:themeFill="background1"/>
      </w:tcPr>
    </w:tblStylePr>
    <w:tblStylePr w:type="band1Vert">
      <w:tblPr/>
      <w:tcPr>
        <w:shd w:val="clear" w:color="auto" w:fill="FCF0D1" w:themeFill="accent4" w:themeFillTint="33"/>
      </w:tcPr>
    </w:tblStylePr>
    <w:tblStylePr w:type="band1Horz">
      <w:tblPr/>
      <w:tcPr>
        <w:shd w:val="clear" w:color="auto" w:fill="FCF0D1"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rsid w:val="00DC0A72"/>
    <w:pPr>
      <w:spacing w:after="0" w:line="240" w:lineRule="auto"/>
    </w:pPr>
    <w:rPr>
      <w:color w:val="126D6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8939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8939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8939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89394" w:themeColor="accent5"/>
        </w:tcBorders>
        <w:shd w:val="clear" w:color="auto" w:fill="FFFFFF" w:themeFill="background1"/>
      </w:tcPr>
    </w:tblStylePr>
    <w:tblStylePr w:type="band1Vert">
      <w:tblPr/>
      <w:tcPr>
        <w:shd w:val="clear" w:color="auto" w:fill="C4F5F5" w:themeFill="accent5" w:themeFillTint="33"/>
      </w:tcPr>
    </w:tblStylePr>
    <w:tblStylePr w:type="band1Horz">
      <w:tblPr/>
      <w:tcPr>
        <w:shd w:val="clear" w:color="auto" w:fill="C4F5F5"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rsid w:val="00DC0A72"/>
    <w:pPr>
      <w:spacing w:after="0" w:line="240" w:lineRule="auto"/>
    </w:pPr>
    <w:rPr>
      <w:color w:val="117C5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7A673"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7A673"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7A673"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7A673" w:themeColor="accent6"/>
        </w:tcBorders>
        <w:shd w:val="clear" w:color="auto" w:fill="FFFFFF" w:themeFill="background1"/>
      </w:tcPr>
    </w:tblStylePr>
    <w:tblStylePr w:type="band1Vert">
      <w:tblPr/>
      <w:tcPr>
        <w:shd w:val="clear" w:color="auto" w:fill="C6F7E5" w:themeFill="accent6" w:themeFillTint="33"/>
      </w:tcPr>
    </w:tblStylePr>
    <w:tblStylePr w:type="band1Horz">
      <w:tblPr/>
      <w:tcPr>
        <w:shd w:val="clear" w:color="auto" w:fill="C6F7E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nhideWhenUsed/>
    <w:rsid w:val="00DC0A7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nhideWhenUsed/>
    <w:rsid w:val="00DC0A72"/>
    <w:pPr>
      <w:spacing w:after="0" w:line="240" w:lineRule="auto"/>
    </w:pPr>
    <w:tblPr>
      <w:tblStyleRowBandSize w:val="1"/>
      <w:tblStyleColBandSize w:val="1"/>
      <w:tblBorders>
        <w:top w:val="single" w:sz="8" w:space="0" w:color="195CA5" w:themeColor="accent1" w:themeTint="BF"/>
        <w:left w:val="single" w:sz="8" w:space="0" w:color="195CA5" w:themeColor="accent1" w:themeTint="BF"/>
        <w:bottom w:val="single" w:sz="8" w:space="0" w:color="195CA5" w:themeColor="accent1" w:themeTint="BF"/>
        <w:right w:val="single" w:sz="8" w:space="0" w:color="195CA5" w:themeColor="accent1" w:themeTint="BF"/>
        <w:insideH w:val="single" w:sz="8" w:space="0" w:color="195CA5" w:themeColor="accent1" w:themeTint="BF"/>
        <w:insideV w:val="single" w:sz="8" w:space="0" w:color="195CA5" w:themeColor="accent1" w:themeTint="BF"/>
      </w:tblBorders>
    </w:tblPr>
    <w:tcPr>
      <w:shd w:val="clear" w:color="auto" w:fill="A3C8F1" w:themeFill="accent1" w:themeFillTint="3F"/>
    </w:tcPr>
    <w:tblStylePr w:type="firstRow">
      <w:rPr>
        <w:b/>
        <w:bCs/>
      </w:rPr>
    </w:tblStylePr>
    <w:tblStylePr w:type="lastRow">
      <w:rPr>
        <w:b/>
        <w:bCs/>
      </w:rPr>
      <w:tblPr/>
      <w:tcPr>
        <w:tcBorders>
          <w:top w:val="single" w:sz="18" w:space="0" w:color="195CA5" w:themeColor="accent1" w:themeTint="BF"/>
        </w:tcBorders>
      </w:tcPr>
    </w:tblStylePr>
    <w:tblStylePr w:type="firstCol">
      <w:rPr>
        <w:b/>
        <w:bCs/>
      </w:rPr>
    </w:tblStylePr>
    <w:tblStylePr w:type="lastCol">
      <w:rPr>
        <w:b/>
        <w:bCs/>
      </w:rPr>
    </w:tblStylePr>
    <w:tblStylePr w:type="band1Vert">
      <w:tblPr/>
      <w:tcPr>
        <w:shd w:val="clear" w:color="auto" w:fill="4692E3" w:themeFill="accent1" w:themeFillTint="7F"/>
      </w:tcPr>
    </w:tblStylePr>
    <w:tblStylePr w:type="band1Horz">
      <w:tblPr/>
      <w:tcPr>
        <w:shd w:val="clear" w:color="auto" w:fill="4692E3" w:themeFill="accent1" w:themeFillTint="7F"/>
      </w:tcPr>
    </w:tblStylePr>
  </w:style>
  <w:style w:type="table" w:styleId="MediumGrid1-Accent2">
    <w:name w:val="Medium Grid 1 Accent 2"/>
    <w:basedOn w:val="TableNormal"/>
    <w:unhideWhenUsed/>
    <w:rsid w:val="00DC0A72"/>
    <w:pPr>
      <w:spacing w:after="0" w:line="240" w:lineRule="auto"/>
    </w:pPr>
    <w:tblPr>
      <w:tblStyleRowBandSize w:val="1"/>
      <w:tblStyleColBandSize w:val="1"/>
      <w:tblBorders>
        <w:top w:val="single" w:sz="8" w:space="0" w:color="E05C59" w:themeColor="accent2" w:themeTint="BF"/>
        <w:left w:val="single" w:sz="8" w:space="0" w:color="E05C59" w:themeColor="accent2" w:themeTint="BF"/>
        <w:bottom w:val="single" w:sz="8" w:space="0" w:color="E05C59" w:themeColor="accent2" w:themeTint="BF"/>
        <w:right w:val="single" w:sz="8" w:space="0" w:color="E05C59" w:themeColor="accent2" w:themeTint="BF"/>
        <w:insideH w:val="single" w:sz="8" w:space="0" w:color="E05C59" w:themeColor="accent2" w:themeTint="BF"/>
        <w:insideV w:val="single" w:sz="8" w:space="0" w:color="E05C59" w:themeColor="accent2" w:themeTint="BF"/>
      </w:tblBorders>
    </w:tblPr>
    <w:tcPr>
      <w:shd w:val="clear" w:color="auto" w:fill="F4C9C8" w:themeFill="accent2" w:themeFillTint="3F"/>
    </w:tcPr>
    <w:tblStylePr w:type="firstRow">
      <w:rPr>
        <w:b/>
        <w:bCs/>
      </w:rPr>
    </w:tblStylePr>
    <w:tblStylePr w:type="lastRow">
      <w:rPr>
        <w:b/>
        <w:bCs/>
      </w:rPr>
      <w:tblPr/>
      <w:tcPr>
        <w:tcBorders>
          <w:top w:val="single" w:sz="18" w:space="0" w:color="E05C59" w:themeColor="accent2" w:themeTint="BF"/>
        </w:tcBorders>
      </w:tcPr>
    </w:tblStylePr>
    <w:tblStylePr w:type="firstCol">
      <w:rPr>
        <w:b/>
        <w:bCs/>
      </w:rPr>
    </w:tblStylePr>
    <w:tblStylePr w:type="lastCol">
      <w:rPr>
        <w:b/>
        <w:bCs/>
      </w:rPr>
    </w:tblStylePr>
    <w:tblStylePr w:type="band1Vert">
      <w:tblPr/>
      <w:tcPr>
        <w:shd w:val="clear" w:color="auto" w:fill="EA9290" w:themeFill="accent2" w:themeFillTint="7F"/>
      </w:tcPr>
    </w:tblStylePr>
    <w:tblStylePr w:type="band1Horz">
      <w:tblPr/>
      <w:tcPr>
        <w:shd w:val="clear" w:color="auto" w:fill="EA9290" w:themeFill="accent2" w:themeFillTint="7F"/>
      </w:tcPr>
    </w:tblStylePr>
  </w:style>
  <w:style w:type="table" w:styleId="MediumGrid1-Accent3">
    <w:name w:val="Medium Grid 1 Accent 3"/>
    <w:basedOn w:val="TableNormal"/>
    <w:unhideWhenUsed/>
    <w:rsid w:val="00DC0A72"/>
    <w:pPr>
      <w:spacing w:after="0" w:line="240" w:lineRule="auto"/>
    </w:pPr>
    <w:tblPr>
      <w:tblStyleRowBandSize w:val="1"/>
      <w:tblStyleColBandSize w:val="1"/>
      <w:tblBorders>
        <w:top w:val="single" w:sz="8" w:space="0" w:color="7F8D98" w:themeColor="accent3" w:themeTint="BF"/>
        <w:left w:val="single" w:sz="8" w:space="0" w:color="7F8D98" w:themeColor="accent3" w:themeTint="BF"/>
        <w:bottom w:val="single" w:sz="8" w:space="0" w:color="7F8D98" w:themeColor="accent3" w:themeTint="BF"/>
        <w:right w:val="single" w:sz="8" w:space="0" w:color="7F8D98" w:themeColor="accent3" w:themeTint="BF"/>
        <w:insideH w:val="single" w:sz="8" w:space="0" w:color="7F8D98" w:themeColor="accent3" w:themeTint="BF"/>
        <w:insideV w:val="single" w:sz="8" w:space="0" w:color="7F8D98" w:themeColor="accent3" w:themeTint="BF"/>
      </w:tblBorders>
    </w:tblPr>
    <w:tcPr>
      <w:shd w:val="clear" w:color="auto" w:fill="D5D9DD" w:themeFill="accent3" w:themeFillTint="3F"/>
    </w:tcPr>
    <w:tblStylePr w:type="firstRow">
      <w:rPr>
        <w:b/>
        <w:bCs/>
      </w:rPr>
    </w:tblStylePr>
    <w:tblStylePr w:type="lastRow">
      <w:rPr>
        <w:b/>
        <w:bCs/>
      </w:rPr>
      <w:tblPr/>
      <w:tcPr>
        <w:tcBorders>
          <w:top w:val="single" w:sz="18" w:space="0" w:color="7F8D98" w:themeColor="accent3" w:themeTint="BF"/>
        </w:tcBorders>
      </w:tcPr>
    </w:tblStylePr>
    <w:tblStylePr w:type="firstCol">
      <w:rPr>
        <w:b/>
        <w:bCs/>
      </w:rPr>
    </w:tblStylePr>
    <w:tblStylePr w:type="lastCol">
      <w:rPr>
        <w:b/>
        <w:bCs/>
      </w:rPr>
    </w:tblStylePr>
    <w:tblStylePr w:type="band1Vert">
      <w:tblPr/>
      <w:tcPr>
        <w:shd w:val="clear" w:color="auto" w:fill="AAB3BB" w:themeFill="accent3" w:themeFillTint="7F"/>
      </w:tcPr>
    </w:tblStylePr>
    <w:tblStylePr w:type="band1Horz">
      <w:tblPr/>
      <w:tcPr>
        <w:shd w:val="clear" w:color="auto" w:fill="AAB3BB" w:themeFill="accent3" w:themeFillTint="7F"/>
      </w:tcPr>
    </w:tblStylePr>
  </w:style>
  <w:style w:type="table" w:styleId="MediumGrid1-Accent4">
    <w:name w:val="Medium Grid 1 Accent 4"/>
    <w:basedOn w:val="TableNormal"/>
    <w:unhideWhenUsed/>
    <w:rsid w:val="00DC0A72"/>
    <w:pPr>
      <w:spacing w:after="0" w:line="240" w:lineRule="auto"/>
    </w:pPr>
    <w:tblPr>
      <w:tblStyleRowBandSize w:val="1"/>
      <w:tblStyleColBandSize w:val="1"/>
      <w:tblBorders>
        <w:top w:val="single" w:sz="8" w:space="0" w:color="F4C754" w:themeColor="accent4" w:themeTint="BF"/>
        <w:left w:val="single" w:sz="8" w:space="0" w:color="F4C754" w:themeColor="accent4" w:themeTint="BF"/>
        <w:bottom w:val="single" w:sz="8" w:space="0" w:color="F4C754" w:themeColor="accent4" w:themeTint="BF"/>
        <w:right w:val="single" w:sz="8" w:space="0" w:color="F4C754" w:themeColor="accent4" w:themeTint="BF"/>
        <w:insideH w:val="single" w:sz="8" w:space="0" w:color="F4C754" w:themeColor="accent4" w:themeTint="BF"/>
        <w:insideV w:val="single" w:sz="8" w:space="0" w:color="F4C754" w:themeColor="accent4" w:themeTint="BF"/>
      </w:tblBorders>
    </w:tblPr>
    <w:tcPr>
      <w:shd w:val="clear" w:color="auto" w:fill="FBECC6" w:themeFill="accent4" w:themeFillTint="3F"/>
    </w:tcPr>
    <w:tblStylePr w:type="firstRow">
      <w:rPr>
        <w:b/>
        <w:bCs/>
      </w:rPr>
    </w:tblStylePr>
    <w:tblStylePr w:type="lastRow">
      <w:rPr>
        <w:b/>
        <w:bCs/>
      </w:rPr>
      <w:tblPr/>
      <w:tcPr>
        <w:tcBorders>
          <w:top w:val="single" w:sz="18" w:space="0" w:color="F4C754" w:themeColor="accent4" w:themeTint="BF"/>
        </w:tcBorders>
      </w:tcPr>
    </w:tblStylePr>
    <w:tblStylePr w:type="firstCol">
      <w:rPr>
        <w:b/>
        <w:bCs/>
      </w:rPr>
    </w:tblStylePr>
    <w:tblStylePr w:type="lastCol">
      <w:rPr>
        <w:b/>
        <w:bCs/>
      </w:rPr>
    </w:tblStylePr>
    <w:tblStylePr w:type="band1Vert">
      <w:tblPr/>
      <w:tcPr>
        <w:shd w:val="clear" w:color="auto" w:fill="F8DA8D" w:themeFill="accent4" w:themeFillTint="7F"/>
      </w:tcPr>
    </w:tblStylePr>
    <w:tblStylePr w:type="band1Horz">
      <w:tblPr/>
      <w:tcPr>
        <w:shd w:val="clear" w:color="auto" w:fill="F8DA8D" w:themeFill="accent4" w:themeFillTint="7F"/>
      </w:tcPr>
    </w:tblStylePr>
  </w:style>
  <w:style w:type="table" w:styleId="MediumGrid1-Accent5">
    <w:name w:val="Medium Grid 1 Accent 5"/>
    <w:basedOn w:val="TableNormal"/>
    <w:unhideWhenUsed/>
    <w:rsid w:val="00DC0A72"/>
    <w:pPr>
      <w:spacing w:after="0" w:line="240" w:lineRule="auto"/>
    </w:pPr>
    <w:tblPr>
      <w:tblStyleRowBandSize w:val="1"/>
      <w:tblStyleColBandSize w:val="1"/>
      <w:tblBorders>
        <w:top w:val="single" w:sz="8" w:space="0" w:color="25D9DB" w:themeColor="accent5" w:themeTint="BF"/>
        <w:left w:val="single" w:sz="8" w:space="0" w:color="25D9DB" w:themeColor="accent5" w:themeTint="BF"/>
        <w:bottom w:val="single" w:sz="8" w:space="0" w:color="25D9DB" w:themeColor="accent5" w:themeTint="BF"/>
        <w:right w:val="single" w:sz="8" w:space="0" w:color="25D9DB" w:themeColor="accent5" w:themeTint="BF"/>
        <w:insideH w:val="single" w:sz="8" w:space="0" w:color="25D9DB" w:themeColor="accent5" w:themeTint="BF"/>
        <w:insideV w:val="single" w:sz="8" w:space="0" w:color="25D9DB" w:themeColor="accent5" w:themeTint="BF"/>
      </w:tblBorders>
    </w:tblPr>
    <w:tcPr>
      <w:shd w:val="clear" w:color="auto" w:fill="B7F2F3" w:themeFill="accent5" w:themeFillTint="3F"/>
    </w:tcPr>
    <w:tblStylePr w:type="firstRow">
      <w:rPr>
        <w:b/>
        <w:bCs/>
      </w:rPr>
    </w:tblStylePr>
    <w:tblStylePr w:type="lastRow">
      <w:rPr>
        <w:b/>
        <w:bCs/>
      </w:rPr>
      <w:tblPr/>
      <w:tcPr>
        <w:tcBorders>
          <w:top w:val="single" w:sz="18" w:space="0" w:color="25D9DB" w:themeColor="accent5" w:themeTint="BF"/>
        </w:tcBorders>
      </w:tcPr>
    </w:tblStylePr>
    <w:tblStylePr w:type="firstCol">
      <w:rPr>
        <w:b/>
        <w:bCs/>
      </w:rPr>
    </w:tblStylePr>
    <w:tblStylePr w:type="lastCol">
      <w:rPr>
        <w:b/>
        <w:bCs/>
      </w:rPr>
    </w:tblStylePr>
    <w:tblStylePr w:type="band1Vert">
      <w:tblPr/>
      <w:tcPr>
        <w:shd w:val="clear" w:color="auto" w:fill="6DE6E7" w:themeFill="accent5" w:themeFillTint="7F"/>
      </w:tcPr>
    </w:tblStylePr>
    <w:tblStylePr w:type="band1Horz">
      <w:tblPr/>
      <w:tcPr>
        <w:shd w:val="clear" w:color="auto" w:fill="6DE6E7" w:themeFill="accent5" w:themeFillTint="7F"/>
      </w:tcPr>
    </w:tblStylePr>
  </w:style>
  <w:style w:type="table" w:styleId="MediumGrid1-Accent6">
    <w:name w:val="Medium Grid 1 Accent 6"/>
    <w:basedOn w:val="TableNormal"/>
    <w:unhideWhenUsed/>
    <w:rsid w:val="00DC0A72"/>
    <w:pPr>
      <w:spacing w:after="0" w:line="240" w:lineRule="auto"/>
    </w:pPr>
    <w:tblPr>
      <w:tblStyleRowBandSize w:val="1"/>
      <w:tblStyleColBandSize w:val="1"/>
      <w:tblBorders>
        <w:top w:val="single" w:sz="8" w:space="0" w:color="2BE1A0" w:themeColor="accent6" w:themeTint="BF"/>
        <w:left w:val="single" w:sz="8" w:space="0" w:color="2BE1A0" w:themeColor="accent6" w:themeTint="BF"/>
        <w:bottom w:val="single" w:sz="8" w:space="0" w:color="2BE1A0" w:themeColor="accent6" w:themeTint="BF"/>
        <w:right w:val="single" w:sz="8" w:space="0" w:color="2BE1A0" w:themeColor="accent6" w:themeTint="BF"/>
        <w:insideH w:val="single" w:sz="8" w:space="0" w:color="2BE1A0" w:themeColor="accent6" w:themeTint="BF"/>
        <w:insideV w:val="single" w:sz="8" w:space="0" w:color="2BE1A0" w:themeColor="accent6" w:themeTint="BF"/>
      </w:tblBorders>
    </w:tblPr>
    <w:tcPr>
      <w:shd w:val="clear" w:color="auto" w:fill="B9F5DF" w:themeFill="accent6" w:themeFillTint="3F"/>
    </w:tcPr>
    <w:tblStylePr w:type="firstRow">
      <w:rPr>
        <w:b/>
        <w:bCs/>
      </w:rPr>
    </w:tblStylePr>
    <w:tblStylePr w:type="lastRow">
      <w:rPr>
        <w:b/>
        <w:bCs/>
      </w:rPr>
      <w:tblPr/>
      <w:tcPr>
        <w:tcBorders>
          <w:top w:val="single" w:sz="18" w:space="0" w:color="2BE1A0" w:themeColor="accent6" w:themeTint="BF"/>
        </w:tcBorders>
      </w:tcPr>
    </w:tblStylePr>
    <w:tblStylePr w:type="firstCol">
      <w:rPr>
        <w:b/>
        <w:bCs/>
      </w:rPr>
    </w:tblStylePr>
    <w:tblStylePr w:type="lastCol">
      <w:rPr>
        <w:b/>
        <w:bCs/>
      </w:rPr>
    </w:tblStylePr>
    <w:tblStylePr w:type="band1Vert">
      <w:tblPr/>
      <w:tcPr>
        <w:shd w:val="clear" w:color="auto" w:fill="72EBC0" w:themeFill="accent6" w:themeFillTint="7F"/>
      </w:tcPr>
    </w:tblStylePr>
    <w:tblStylePr w:type="band1Horz">
      <w:tblPr/>
      <w:tcPr>
        <w:shd w:val="clear" w:color="auto" w:fill="72EBC0" w:themeFill="accent6" w:themeFillTint="7F"/>
      </w:tcPr>
    </w:tblStylePr>
  </w:style>
  <w:style w:type="table" w:styleId="MediumGrid2">
    <w:name w:val="Medium Grid 2"/>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B2949" w:themeColor="accent1"/>
        <w:left w:val="single" w:sz="8" w:space="0" w:color="0B2949" w:themeColor="accent1"/>
        <w:bottom w:val="single" w:sz="8" w:space="0" w:color="0B2949" w:themeColor="accent1"/>
        <w:right w:val="single" w:sz="8" w:space="0" w:color="0B2949" w:themeColor="accent1"/>
        <w:insideH w:val="single" w:sz="8" w:space="0" w:color="0B2949" w:themeColor="accent1"/>
        <w:insideV w:val="single" w:sz="8" w:space="0" w:color="0B2949" w:themeColor="accent1"/>
      </w:tblBorders>
    </w:tblPr>
    <w:tcPr>
      <w:shd w:val="clear" w:color="auto" w:fill="A3C8F1" w:themeFill="accent1" w:themeFillTint="3F"/>
    </w:tcPr>
    <w:tblStylePr w:type="firstRow">
      <w:rPr>
        <w:b/>
        <w:bCs/>
        <w:color w:val="000000" w:themeColor="text1"/>
      </w:rPr>
      <w:tblPr/>
      <w:tcPr>
        <w:shd w:val="clear" w:color="auto" w:fill="DAE9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D3F3" w:themeFill="accent1" w:themeFillTint="33"/>
      </w:tcPr>
    </w:tblStylePr>
    <w:tblStylePr w:type="band1Vert">
      <w:tblPr/>
      <w:tcPr>
        <w:shd w:val="clear" w:color="auto" w:fill="4692E3" w:themeFill="accent1" w:themeFillTint="7F"/>
      </w:tcPr>
    </w:tblStylePr>
    <w:tblStylePr w:type="band1Horz">
      <w:tblPr/>
      <w:tcPr>
        <w:tcBorders>
          <w:insideH w:val="single" w:sz="6" w:space="0" w:color="0B2949" w:themeColor="accent1"/>
          <w:insideV w:val="single" w:sz="6" w:space="0" w:color="0B2949" w:themeColor="accent1"/>
        </w:tcBorders>
        <w:shd w:val="clear" w:color="auto" w:fill="4692E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02B27" w:themeColor="accent2"/>
        <w:left w:val="single" w:sz="8" w:space="0" w:color="D02B27" w:themeColor="accent2"/>
        <w:bottom w:val="single" w:sz="8" w:space="0" w:color="D02B27" w:themeColor="accent2"/>
        <w:right w:val="single" w:sz="8" w:space="0" w:color="D02B27" w:themeColor="accent2"/>
        <w:insideH w:val="single" w:sz="8" w:space="0" w:color="D02B27" w:themeColor="accent2"/>
        <w:insideV w:val="single" w:sz="8" w:space="0" w:color="D02B27" w:themeColor="accent2"/>
      </w:tblBorders>
    </w:tblPr>
    <w:tcPr>
      <w:shd w:val="clear" w:color="auto" w:fill="F4C9C8" w:themeFill="accent2" w:themeFillTint="3F"/>
    </w:tcPr>
    <w:tblStylePr w:type="firstRow">
      <w:rPr>
        <w:b/>
        <w:bCs/>
        <w:color w:val="000000" w:themeColor="text1"/>
      </w:rPr>
      <w:tblPr/>
      <w:tcPr>
        <w:shd w:val="clear" w:color="auto" w:fill="FBE9E9"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D3D2" w:themeFill="accent2" w:themeFillTint="33"/>
      </w:tcPr>
    </w:tblStylePr>
    <w:tblStylePr w:type="band1Vert">
      <w:tblPr/>
      <w:tcPr>
        <w:shd w:val="clear" w:color="auto" w:fill="EA9290" w:themeFill="accent2" w:themeFillTint="7F"/>
      </w:tcPr>
    </w:tblStylePr>
    <w:tblStylePr w:type="band1Horz">
      <w:tblPr/>
      <w:tcPr>
        <w:tcBorders>
          <w:insideH w:val="single" w:sz="6" w:space="0" w:color="D02B27" w:themeColor="accent2"/>
          <w:insideV w:val="single" w:sz="6" w:space="0" w:color="D02B27" w:themeColor="accent2"/>
        </w:tcBorders>
        <w:shd w:val="clear" w:color="auto" w:fill="EA929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6771" w:themeColor="accent3"/>
        <w:left w:val="single" w:sz="8" w:space="0" w:color="5B6771" w:themeColor="accent3"/>
        <w:bottom w:val="single" w:sz="8" w:space="0" w:color="5B6771" w:themeColor="accent3"/>
        <w:right w:val="single" w:sz="8" w:space="0" w:color="5B6771" w:themeColor="accent3"/>
        <w:insideH w:val="single" w:sz="8" w:space="0" w:color="5B6771" w:themeColor="accent3"/>
        <w:insideV w:val="single" w:sz="8" w:space="0" w:color="5B6771" w:themeColor="accent3"/>
      </w:tblBorders>
    </w:tblPr>
    <w:tcPr>
      <w:shd w:val="clear" w:color="auto" w:fill="D5D9DD" w:themeFill="accent3" w:themeFillTint="3F"/>
    </w:tcPr>
    <w:tblStylePr w:type="firstRow">
      <w:rPr>
        <w:b/>
        <w:bCs/>
        <w:color w:val="000000" w:themeColor="text1"/>
      </w:rPr>
      <w:tblPr/>
      <w:tcPr>
        <w:shd w:val="clear" w:color="auto" w:fill="EEF0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E0E3" w:themeFill="accent3" w:themeFillTint="33"/>
      </w:tcPr>
    </w:tblStylePr>
    <w:tblStylePr w:type="band1Vert">
      <w:tblPr/>
      <w:tcPr>
        <w:shd w:val="clear" w:color="auto" w:fill="AAB3BB" w:themeFill="accent3" w:themeFillTint="7F"/>
      </w:tcPr>
    </w:tblStylePr>
    <w:tblStylePr w:type="band1Horz">
      <w:tblPr/>
      <w:tcPr>
        <w:tcBorders>
          <w:insideH w:val="single" w:sz="6" w:space="0" w:color="5B6771" w:themeColor="accent3"/>
          <w:insideV w:val="single" w:sz="6" w:space="0" w:color="5B6771" w:themeColor="accent3"/>
        </w:tcBorders>
        <w:shd w:val="clear" w:color="auto" w:fill="AAB3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1B51C" w:themeColor="accent4"/>
        <w:left w:val="single" w:sz="8" w:space="0" w:color="F1B51C" w:themeColor="accent4"/>
        <w:bottom w:val="single" w:sz="8" w:space="0" w:color="F1B51C" w:themeColor="accent4"/>
        <w:right w:val="single" w:sz="8" w:space="0" w:color="F1B51C" w:themeColor="accent4"/>
        <w:insideH w:val="single" w:sz="8" w:space="0" w:color="F1B51C" w:themeColor="accent4"/>
        <w:insideV w:val="single" w:sz="8" w:space="0" w:color="F1B51C" w:themeColor="accent4"/>
      </w:tblBorders>
    </w:tblPr>
    <w:tcPr>
      <w:shd w:val="clear" w:color="auto" w:fill="FBECC6" w:themeFill="accent4" w:themeFillTint="3F"/>
    </w:tcPr>
    <w:tblStylePr w:type="firstRow">
      <w:rPr>
        <w:b/>
        <w:bCs/>
        <w:color w:val="000000" w:themeColor="text1"/>
      </w:rPr>
      <w:tblPr/>
      <w:tcPr>
        <w:shd w:val="clear" w:color="auto" w:fill="FDF7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F0D1" w:themeFill="accent4" w:themeFillTint="33"/>
      </w:tcPr>
    </w:tblStylePr>
    <w:tblStylePr w:type="band1Vert">
      <w:tblPr/>
      <w:tcPr>
        <w:shd w:val="clear" w:color="auto" w:fill="F8DA8D" w:themeFill="accent4" w:themeFillTint="7F"/>
      </w:tcPr>
    </w:tblStylePr>
    <w:tblStylePr w:type="band1Horz">
      <w:tblPr/>
      <w:tcPr>
        <w:tcBorders>
          <w:insideH w:val="single" w:sz="6" w:space="0" w:color="F1B51C" w:themeColor="accent4"/>
          <w:insideV w:val="single" w:sz="6" w:space="0" w:color="F1B51C" w:themeColor="accent4"/>
        </w:tcBorders>
        <w:shd w:val="clear" w:color="auto" w:fill="F8DA8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89394" w:themeColor="accent5"/>
        <w:left w:val="single" w:sz="8" w:space="0" w:color="189394" w:themeColor="accent5"/>
        <w:bottom w:val="single" w:sz="8" w:space="0" w:color="189394" w:themeColor="accent5"/>
        <w:right w:val="single" w:sz="8" w:space="0" w:color="189394" w:themeColor="accent5"/>
        <w:insideH w:val="single" w:sz="8" w:space="0" w:color="189394" w:themeColor="accent5"/>
        <w:insideV w:val="single" w:sz="8" w:space="0" w:color="189394" w:themeColor="accent5"/>
      </w:tblBorders>
    </w:tblPr>
    <w:tcPr>
      <w:shd w:val="clear" w:color="auto" w:fill="B7F2F3" w:themeFill="accent5" w:themeFillTint="3F"/>
    </w:tcPr>
    <w:tblStylePr w:type="firstRow">
      <w:rPr>
        <w:b/>
        <w:bCs/>
        <w:color w:val="000000" w:themeColor="text1"/>
      </w:rPr>
      <w:tblPr/>
      <w:tcPr>
        <w:shd w:val="clear" w:color="auto" w:fill="E2FAF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4F5F5" w:themeFill="accent5" w:themeFillTint="33"/>
      </w:tcPr>
    </w:tblStylePr>
    <w:tblStylePr w:type="band1Vert">
      <w:tblPr/>
      <w:tcPr>
        <w:shd w:val="clear" w:color="auto" w:fill="6DE6E7" w:themeFill="accent5" w:themeFillTint="7F"/>
      </w:tcPr>
    </w:tblStylePr>
    <w:tblStylePr w:type="band1Horz">
      <w:tblPr/>
      <w:tcPr>
        <w:tcBorders>
          <w:insideH w:val="single" w:sz="6" w:space="0" w:color="189394" w:themeColor="accent5"/>
          <w:insideV w:val="single" w:sz="6" w:space="0" w:color="189394" w:themeColor="accent5"/>
        </w:tcBorders>
        <w:shd w:val="clear" w:color="auto" w:fill="6DE6E7"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7A673" w:themeColor="accent6"/>
        <w:left w:val="single" w:sz="8" w:space="0" w:color="17A673" w:themeColor="accent6"/>
        <w:bottom w:val="single" w:sz="8" w:space="0" w:color="17A673" w:themeColor="accent6"/>
        <w:right w:val="single" w:sz="8" w:space="0" w:color="17A673" w:themeColor="accent6"/>
        <w:insideH w:val="single" w:sz="8" w:space="0" w:color="17A673" w:themeColor="accent6"/>
        <w:insideV w:val="single" w:sz="8" w:space="0" w:color="17A673" w:themeColor="accent6"/>
      </w:tblBorders>
    </w:tblPr>
    <w:tcPr>
      <w:shd w:val="clear" w:color="auto" w:fill="B9F5DF" w:themeFill="accent6" w:themeFillTint="3F"/>
    </w:tcPr>
    <w:tblStylePr w:type="firstRow">
      <w:rPr>
        <w:b/>
        <w:bCs/>
        <w:color w:val="000000" w:themeColor="text1"/>
      </w:rPr>
      <w:tblPr/>
      <w:tcPr>
        <w:shd w:val="clear" w:color="auto" w:fill="E3FBF2"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7E5" w:themeFill="accent6" w:themeFillTint="33"/>
      </w:tcPr>
    </w:tblStylePr>
    <w:tblStylePr w:type="band1Vert">
      <w:tblPr/>
      <w:tcPr>
        <w:shd w:val="clear" w:color="auto" w:fill="72EBC0" w:themeFill="accent6" w:themeFillTint="7F"/>
      </w:tcPr>
    </w:tblStylePr>
    <w:tblStylePr w:type="band1Horz">
      <w:tblPr/>
      <w:tcPr>
        <w:tcBorders>
          <w:insideH w:val="single" w:sz="6" w:space="0" w:color="17A673" w:themeColor="accent6"/>
          <w:insideV w:val="single" w:sz="6" w:space="0" w:color="17A673" w:themeColor="accent6"/>
        </w:tcBorders>
        <w:shd w:val="clear" w:color="auto" w:fill="72EBC0" w:themeFill="accent6" w:themeFillTint="7F"/>
      </w:tcPr>
    </w:tblStylePr>
    <w:tblStylePr w:type="nwCell">
      <w:tblPr/>
      <w:tcPr>
        <w:shd w:val="clear" w:color="auto" w:fill="FFFFFF" w:themeFill="background1"/>
      </w:tcPr>
    </w:tblStylePr>
  </w:style>
  <w:style w:type="table" w:styleId="MediumGrid3">
    <w:name w:val="Medium Grid 3"/>
    <w:basedOn w:val="TableNormal"/>
    <w:unhideWhenUsed/>
    <w:rsid w:val="00DC0A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nhideWhenUsed/>
    <w:rsid w:val="00DC0A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3C8F1"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B29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B29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B29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B29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692E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692E3" w:themeFill="accent1" w:themeFillTint="7F"/>
      </w:tcPr>
    </w:tblStylePr>
  </w:style>
  <w:style w:type="table" w:styleId="MediumGrid3-Accent2">
    <w:name w:val="Medium Grid 3 Accent 2"/>
    <w:basedOn w:val="TableNormal"/>
    <w:unhideWhenUsed/>
    <w:rsid w:val="00DC0A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C9C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02B2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02B2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02B2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02B2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929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9290" w:themeFill="accent2" w:themeFillTint="7F"/>
      </w:tcPr>
    </w:tblStylePr>
  </w:style>
  <w:style w:type="table" w:styleId="MediumGrid3-Accent3">
    <w:name w:val="Medium Grid 3 Accent 3"/>
    <w:basedOn w:val="TableNormal"/>
    <w:unhideWhenUsed/>
    <w:rsid w:val="00DC0A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D9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677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677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677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677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AB3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AB3BB" w:themeFill="accent3" w:themeFillTint="7F"/>
      </w:tcPr>
    </w:tblStylePr>
  </w:style>
  <w:style w:type="table" w:styleId="MediumGrid3-Accent4">
    <w:name w:val="Medium Grid 3 Accent 4"/>
    <w:basedOn w:val="TableNormal"/>
    <w:unhideWhenUsed/>
    <w:rsid w:val="00DC0A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ECC6"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1B51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1B51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1B51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1B51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DA8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DA8D" w:themeFill="accent4" w:themeFillTint="7F"/>
      </w:tcPr>
    </w:tblStylePr>
  </w:style>
  <w:style w:type="table" w:styleId="MediumGrid3-Accent5">
    <w:name w:val="Medium Grid 3 Accent 5"/>
    <w:basedOn w:val="TableNormal"/>
    <w:unhideWhenUsed/>
    <w:rsid w:val="00DC0A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7F2F3"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8939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8939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8939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8939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DE6E7"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DE6E7" w:themeFill="accent5" w:themeFillTint="7F"/>
      </w:tcPr>
    </w:tblStylePr>
  </w:style>
  <w:style w:type="table" w:styleId="MediumGrid3-Accent6">
    <w:name w:val="Medium Grid 3 Accent 6"/>
    <w:basedOn w:val="TableNormal"/>
    <w:unhideWhenUsed/>
    <w:rsid w:val="00DC0A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F5D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7A673"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7A673"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7A673"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7A673"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2EBC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2EBC0" w:themeFill="accent6" w:themeFillTint="7F"/>
      </w:tcPr>
    </w:tblStylePr>
  </w:style>
  <w:style w:type="table" w:styleId="MediumList1">
    <w:name w:val="Medium List 1"/>
    <w:basedOn w:val="TableNormal"/>
    <w:unhideWhenUsed/>
    <w:rsid w:val="00DC0A72"/>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46B5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nhideWhenUsed/>
    <w:rsid w:val="00DC0A72"/>
    <w:pPr>
      <w:spacing w:after="0" w:line="240" w:lineRule="auto"/>
    </w:pPr>
    <w:rPr>
      <w:color w:val="000000" w:themeColor="text1"/>
    </w:rPr>
    <w:tblPr>
      <w:tblStyleRowBandSize w:val="1"/>
      <w:tblStyleColBandSize w:val="1"/>
      <w:tblBorders>
        <w:top w:val="single" w:sz="8" w:space="0" w:color="0B2949" w:themeColor="accent1"/>
        <w:bottom w:val="single" w:sz="8" w:space="0" w:color="0B2949" w:themeColor="accent1"/>
      </w:tblBorders>
    </w:tblPr>
    <w:tblStylePr w:type="firstRow">
      <w:rPr>
        <w:rFonts w:asciiTheme="majorHAnsi" w:eastAsiaTheme="majorEastAsia" w:hAnsiTheme="majorHAnsi" w:cstheme="majorBidi"/>
      </w:rPr>
      <w:tblPr/>
      <w:tcPr>
        <w:tcBorders>
          <w:top w:val="nil"/>
          <w:bottom w:val="single" w:sz="8" w:space="0" w:color="0B2949" w:themeColor="accent1"/>
        </w:tcBorders>
      </w:tcPr>
    </w:tblStylePr>
    <w:tblStylePr w:type="lastRow">
      <w:rPr>
        <w:b/>
        <w:bCs/>
        <w:color w:val="046B5C" w:themeColor="text2"/>
      </w:rPr>
      <w:tblPr/>
      <w:tcPr>
        <w:tcBorders>
          <w:top w:val="single" w:sz="8" w:space="0" w:color="0B2949" w:themeColor="accent1"/>
          <w:bottom w:val="single" w:sz="8" w:space="0" w:color="0B2949" w:themeColor="accent1"/>
        </w:tcBorders>
      </w:tcPr>
    </w:tblStylePr>
    <w:tblStylePr w:type="firstCol">
      <w:rPr>
        <w:b/>
        <w:bCs/>
      </w:rPr>
    </w:tblStylePr>
    <w:tblStylePr w:type="lastCol">
      <w:rPr>
        <w:b/>
        <w:bCs/>
      </w:rPr>
      <w:tblPr/>
      <w:tcPr>
        <w:tcBorders>
          <w:top w:val="single" w:sz="8" w:space="0" w:color="0B2949" w:themeColor="accent1"/>
          <w:bottom w:val="single" w:sz="8" w:space="0" w:color="0B2949" w:themeColor="accent1"/>
        </w:tcBorders>
      </w:tcPr>
    </w:tblStylePr>
    <w:tblStylePr w:type="band1Vert">
      <w:tblPr/>
      <w:tcPr>
        <w:shd w:val="clear" w:color="auto" w:fill="A3C8F1" w:themeFill="accent1" w:themeFillTint="3F"/>
      </w:tcPr>
    </w:tblStylePr>
    <w:tblStylePr w:type="band1Horz">
      <w:tblPr/>
      <w:tcPr>
        <w:shd w:val="clear" w:color="auto" w:fill="A3C8F1" w:themeFill="accent1" w:themeFillTint="3F"/>
      </w:tcPr>
    </w:tblStylePr>
  </w:style>
  <w:style w:type="table" w:styleId="MediumList1-Accent2">
    <w:name w:val="Medium List 1 Accent 2"/>
    <w:basedOn w:val="TableNormal"/>
    <w:unhideWhenUsed/>
    <w:rsid w:val="00DC0A72"/>
    <w:pPr>
      <w:spacing w:after="0" w:line="240" w:lineRule="auto"/>
    </w:pPr>
    <w:rPr>
      <w:color w:val="000000" w:themeColor="text1"/>
    </w:rPr>
    <w:tblPr>
      <w:tblStyleRowBandSize w:val="1"/>
      <w:tblStyleColBandSize w:val="1"/>
      <w:tblBorders>
        <w:top w:val="single" w:sz="8" w:space="0" w:color="D02B27" w:themeColor="accent2"/>
        <w:bottom w:val="single" w:sz="8" w:space="0" w:color="D02B27" w:themeColor="accent2"/>
      </w:tblBorders>
    </w:tblPr>
    <w:tblStylePr w:type="firstRow">
      <w:rPr>
        <w:rFonts w:asciiTheme="majorHAnsi" w:eastAsiaTheme="majorEastAsia" w:hAnsiTheme="majorHAnsi" w:cstheme="majorBidi"/>
      </w:rPr>
      <w:tblPr/>
      <w:tcPr>
        <w:tcBorders>
          <w:top w:val="nil"/>
          <w:bottom w:val="single" w:sz="8" w:space="0" w:color="D02B27" w:themeColor="accent2"/>
        </w:tcBorders>
      </w:tcPr>
    </w:tblStylePr>
    <w:tblStylePr w:type="lastRow">
      <w:rPr>
        <w:b/>
        <w:bCs/>
        <w:color w:val="046B5C" w:themeColor="text2"/>
      </w:rPr>
      <w:tblPr/>
      <w:tcPr>
        <w:tcBorders>
          <w:top w:val="single" w:sz="8" w:space="0" w:color="D02B27" w:themeColor="accent2"/>
          <w:bottom w:val="single" w:sz="8" w:space="0" w:color="D02B27" w:themeColor="accent2"/>
        </w:tcBorders>
      </w:tcPr>
    </w:tblStylePr>
    <w:tblStylePr w:type="firstCol">
      <w:rPr>
        <w:b/>
        <w:bCs/>
      </w:rPr>
    </w:tblStylePr>
    <w:tblStylePr w:type="lastCol">
      <w:rPr>
        <w:b/>
        <w:bCs/>
      </w:rPr>
      <w:tblPr/>
      <w:tcPr>
        <w:tcBorders>
          <w:top w:val="single" w:sz="8" w:space="0" w:color="D02B27" w:themeColor="accent2"/>
          <w:bottom w:val="single" w:sz="8" w:space="0" w:color="D02B27" w:themeColor="accent2"/>
        </w:tcBorders>
      </w:tcPr>
    </w:tblStylePr>
    <w:tblStylePr w:type="band1Vert">
      <w:tblPr/>
      <w:tcPr>
        <w:shd w:val="clear" w:color="auto" w:fill="F4C9C8" w:themeFill="accent2" w:themeFillTint="3F"/>
      </w:tcPr>
    </w:tblStylePr>
    <w:tblStylePr w:type="band1Horz">
      <w:tblPr/>
      <w:tcPr>
        <w:shd w:val="clear" w:color="auto" w:fill="F4C9C8" w:themeFill="accent2" w:themeFillTint="3F"/>
      </w:tcPr>
    </w:tblStylePr>
  </w:style>
  <w:style w:type="table" w:styleId="MediumList1-Accent3">
    <w:name w:val="Medium List 1 Accent 3"/>
    <w:basedOn w:val="TableNormal"/>
    <w:unhideWhenUsed/>
    <w:rsid w:val="00DC0A72"/>
    <w:pPr>
      <w:spacing w:after="0" w:line="240" w:lineRule="auto"/>
    </w:pPr>
    <w:rPr>
      <w:color w:val="000000" w:themeColor="text1"/>
    </w:rPr>
    <w:tblPr>
      <w:tblStyleRowBandSize w:val="1"/>
      <w:tblStyleColBandSize w:val="1"/>
      <w:tblBorders>
        <w:top w:val="single" w:sz="8" w:space="0" w:color="5B6771" w:themeColor="accent3"/>
        <w:bottom w:val="single" w:sz="8" w:space="0" w:color="5B6771" w:themeColor="accent3"/>
      </w:tblBorders>
    </w:tblPr>
    <w:tblStylePr w:type="firstRow">
      <w:rPr>
        <w:rFonts w:asciiTheme="majorHAnsi" w:eastAsiaTheme="majorEastAsia" w:hAnsiTheme="majorHAnsi" w:cstheme="majorBidi"/>
      </w:rPr>
      <w:tblPr/>
      <w:tcPr>
        <w:tcBorders>
          <w:top w:val="nil"/>
          <w:bottom w:val="single" w:sz="8" w:space="0" w:color="5B6771" w:themeColor="accent3"/>
        </w:tcBorders>
      </w:tcPr>
    </w:tblStylePr>
    <w:tblStylePr w:type="lastRow">
      <w:rPr>
        <w:b/>
        <w:bCs/>
        <w:color w:val="046B5C" w:themeColor="text2"/>
      </w:rPr>
      <w:tblPr/>
      <w:tcPr>
        <w:tcBorders>
          <w:top w:val="single" w:sz="8" w:space="0" w:color="5B6771" w:themeColor="accent3"/>
          <w:bottom w:val="single" w:sz="8" w:space="0" w:color="5B6771" w:themeColor="accent3"/>
        </w:tcBorders>
      </w:tcPr>
    </w:tblStylePr>
    <w:tblStylePr w:type="firstCol">
      <w:rPr>
        <w:b/>
        <w:bCs/>
      </w:rPr>
    </w:tblStylePr>
    <w:tblStylePr w:type="lastCol">
      <w:rPr>
        <w:b/>
        <w:bCs/>
      </w:rPr>
      <w:tblPr/>
      <w:tcPr>
        <w:tcBorders>
          <w:top w:val="single" w:sz="8" w:space="0" w:color="5B6771" w:themeColor="accent3"/>
          <w:bottom w:val="single" w:sz="8" w:space="0" w:color="5B6771" w:themeColor="accent3"/>
        </w:tcBorders>
      </w:tcPr>
    </w:tblStylePr>
    <w:tblStylePr w:type="band1Vert">
      <w:tblPr/>
      <w:tcPr>
        <w:shd w:val="clear" w:color="auto" w:fill="D5D9DD" w:themeFill="accent3" w:themeFillTint="3F"/>
      </w:tcPr>
    </w:tblStylePr>
    <w:tblStylePr w:type="band1Horz">
      <w:tblPr/>
      <w:tcPr>
        <w:shd w:val="clear" w:color="auto" w:fill="D5D9DD" w:themeFill="accent3" w:themeFillTint="3F"/>
      </w:tcPr>
    </w:tblStylePr>
  </w:style>
  <w:style w:type="table" w:styleId="MediumList1-Accent4">
    <w:name w:val="Medium List 1 Accent 4"/>
    <w:basedOn w:val="TableNormal"/>
    <w:unhideWhenUsed/>
    <w:rsid w:val="00DC0A72"/>
    <w:pPr>
      <w:spacing w:after="0" w:line="240" w:lineRule="auto"/>
    </w:pPr>
    <w:rPr>
      <w:color w:val="000000" w:themeColor="text1"/>
    </w:rPr>
    <w:tblPr>
      <w:tblStyleRowBandSize w:val="1"/>
      <w:tblStyleColBandSize w:val="1"/>
      <w:tblBorders>
        <w:top w:val="single" w:sz="8" w:space="0" w:color="F1B51C" w:themeColor="accent4"/>
        <w:bottom w:val="single" w:sz="8" w:space="0" w:color="F1B51C" w:themeColor="accent4"/>
      </w:tblBorders>
    </w:tblPr>
    <w:tblStylePr w:type="firstRow">
      <w:rPr>
        <w:rFonts w:asciiTheme="majorHAnsi" w:eastAsiaTheme="majorEastAsia" w:hAnsiTheme="majorHAnsi" w:cstheme="majorBidi"/>
      </w:rPr>
      <w:tblPr/>
      <w:tcPr>
        <w:tcBorders>
          <w:top w:val="nil"/>
          <w:bottom w:val="single" w:sz="8" w:space="0" w:color="F1B51C" w:themeColor="accent4"/>
        </w:tcBorders>
      </w:tcPr>
    </w:tblStylePr>
    <w:tblStylePr w:type="lastRow">
      <w:rPr>
        <w:b/>
        <w:bCs/>
        <w:color w:val="046B5C" w:themeColor="text2"/>
      </w:rPr>
      <w:tblPr/>
      <w:tcPr>
        <w:tcBorders>
          <w:top w:val="single" w:sz="8" w:space="0" w:color="F1B51C" w:themeColor="accent4"/>
          <w:bottom w:val="single" w:sz="8" w:space="0" w:color="F1B51C" w:themeColor="accent4"/>
        </w:tcBorders>
      </w:tcPr>
    </w:tblStylePr>
    <w:tblStylePr w:type="firstCol">
      <w:rPr>
        <w:b/>
        <w:bCs/>
      </w:rPr>
    </w:tblStylePr>
    <w:tblStylePr w:type="lastCol">
      <w:rPr>
        <w:b/>
        <w:bCs/>
      </w:rPr>
      <w:tblPr/>
      <w:tcPr>
        <w:tcBorders>
          <w:top w:val="single" w:sz="8" w:space="0" w:color="F1B51C" w:themeColor="accent4"/>
          <w:bottom w:val="single" w:sz="8" w:space="0" w:color="F1B51C" w:themeColor="accent4"/>
        </w:tcBorders>
      </w:tcPr>
    </w:tblStylePr>
    <w:tblStylePr w:type="band1Vert">
      <w:tblPr/>
      <w:tcPr>
        <w:shd w:val="clear" w:color="auto" w:fill="FBECC6" w:themeFill="accent4" w:themeFillTint="3F"/>
      </w:tcPr>
    </w:tblStylePr>
    <w:tblStylePr w:type="band1Horz">
      <w:tblPr/>
      <w:tcPr>
        <w:shd w:val="clear" w:color="auto" w:fill="FBECC6" w:themeFill="accent4" w:themeFillTint="3F"/>
      </w:tcPr>
    </w:tblStylePr>
  </w:style>
  <w:style w:type="table" w:styleId="MediumList1-Accent5">
    <w:name w:val="Medium List 1 Accent 5"/>
    <w:basedOn w:val="TableNormal"/>
    <w:unhideWhenUsed/>
    <w:rsid w:val="00DC0A72"/>
    <w:pPr>
      <w:spacing w:after="0" w:line="240" w:lineRule="auto"/>
    </w:pPr>
    <w:rPr>
      <w:color w:val="000000" w:themeColor="text1"/>
    </w:rPr>
    <w:tblPr>
      <w:tblStyleRowBandSize w:val="1"/>
      <w:tblStyleColBandSize w:val="1"/>
      <w:tblBorders>
        <w:top w:val="single" w:sz="8" w:space="0" w:color="189394" w:themeColor="accent5"/>
        <w:bottom w:val="single" w:sz="8" w:space="0" w:color="189394" w:themeColor="accent5"/>
      </w:tblBorders>
    </w:tblPr>
    <w:tblStylePr w:type="firstRow">
      <w:rPr>
        <w:rFonts w:asciiTheme="majorHAnsi" w:eastAsiaTheme="majorEastAsia" w:hAnsiTheme="majorHAnsi" w:cstheme="majorBidi"/>
      </w:rPr>
      <w:tblPr/>
      <w:tcPr>
        <w:tcBorders>
          <w:top w:val="nil"/>
          <w:bottom w:val="single" w:sz="8" w:space="0" w:color="189394" w:themeColor="accent5"/>
        </w:tcBorders>
      </w:tcPr>
    </w:tblStylePr>
    <w:tblStylePr w:type="lastRow">
      <w:rPr>
        <w:b/>
        <w:bCs/>
        <w:color w:val="046B5C" w:themeColor="text2"/>
      </w:rPr>
      <w:tblPr/>
      <w:tcPr>
        <w:tcBorders>
          <w:top w:val="single" w:sz="8" w:space="0" w:color="189394" w:themeColor="accent5"/>
          <w:bottom w:val="single" w:sz="8" w:space="0" w:color="189394" w:themeColor="accent5"/>
        </w:tcBorders>
      </w:tcPr>
    </w:tblStylePr>
    <w:tblStylePr w:type="firstCol">
      <w:rPr>
        <w:b/>
        <w:bCs/>
      </w:rPr>
    </w:tblStylePr>
    <w:tblStylePr w:type="lastCol">
      <w:rPr>
        <w:b/>
        <w:bCs/>
      </w:rPr>
      <w:tblPr/>
      <w:tcPr>
        <w:tcBorders>
          <w:top w:val="single" w:sz="8" w:space="0" w:color="189394" w:themeColor="accent5"/>
          <w:bottom w:val="single" w:sz="8" w:space="0" w:color="189394" w:themeColor="accent5"/>
        </w:tcBorders>
      </w:tcPr>
    </w:tblStylePr>
    <w:tblStylePr w:type="band1Vert">
      <w:tblPr/>
      <w:tcPr>
        <w:shd w:val="clear" w:color="auto" w:fill="B7F2F3" w:themeFill="accent5" w:themeFillTint="3F"/>
      </w:tcPr>
    </w:tblStylePr>
    <w:tblStylePr w:type="band1Horz">
      <w:tblPr/>
      <w:tcPr>
        <w:shd w:val="clear" w:color="auto" w:fill="B7F2F3" w:themeFill="accent5" w:themeFillTint="3F"/>
      </w:tcPr>
    </w:tblStylePr>
  </w:style>
  <w:style w:type="table" w:styleId="MediumList1-Accent6">
    <w:name w:val="Medium List 1 Accent 6"/>
    <w:basedOn w:val="TableNormal"/>
    <w:unhideWhenUsed/>
    <w:rsid w:val="00DC0A72"/>
    <w:pPr>
      <w:spacing w:after="0" w:line="240" w:lineRule="auto"/>
    </w:pPr>
    <w:rPr>
      <w:color w:val="000000" w:themeColor="text1"/>
    </w:rPr>
    <w:tblPr>
      <w:tblStyleRowBandSize w:val="1"/>
      <w:tblStyleColBandSize w:val="1"/>
      <w:tblBorders>
        <w:top w:val="single" w:sz="8" w:space="0" w:color="17A673" w:themeColor="accent6"/>
        <w:bottom w:val="single" w:sz="8" w:space="0" w:color="17A673" w:themeColor="accent6"/>
      </w:tblBorders>
    </w:tblPr>
    <w:tblStylePr w:type="firstRow">
      <w:rPr>
        <w:rFonts w:asciiTheme="majorHAnsi" w:eastAsiaTheme="majorEastAsia" w:hAnsiTheme="majorHAnsi" w:cstheme="majorBidi"/>
      </w:rPr>
      <w:tblPr/>
      <w:tcPr>
        <w:tcBorders>
          <w:top w:val="nil"/>
          <w:bottom w:val="single" w:sz="8" w:space="0" w:color="17A673" w:themeColor="accent6"/>
        </w:tcBorders>
      </w:tcPr>
    </w:tblStylePr>
    <w:tblStylePr w:type="lastRow">
      <w:rPr>
        <w:b/>
        <w:bCs/>
        <w:color w:val="046B5C" w:themeColor="text2"/>
      </w:rPr>
      <w:tblPr/>
      <w:tcPr>
        <w:tcBorders>
          <w:top w:val="single" w:sz="8" w:space="0" w:color="17A673" w:themeColor="accent6"/>
          <w:bottom w:val="single" w:sz="8" w:space="0" w:color="17A673" w:themeColor="accent6"/>
        </w:tcBorders>
      </w:tcPr>
    </w:tblStylePr>
    <w:tblStylePr w:type="firstCol">
      <w:rPr>
        <w:b/>
        <w:bCs/>
      </w:rPr>
    </w:tblStylePr>
    <w:tblStylePr w:type="lastCol">
      <w:rPr>
        <w:b/>
        <w:bCs/>
      </w:rPr>
      <w:tblPr/>
      <w:tcPr>
        <w:tcBorders>
          <w:top w:val="single" w:sz="8" w:space="0" w:color="17A673" w:themeColor="accent6"/>
          <w:bottom w:val="single" w:sz="8" w:space="0" w:color="17A673" w:themeColor="accent6"/>
        </w:tcBorders>
      </w:tcPr>
    </w:tblStylePr>
    <w:tblStylePr w:type="band1Vert">
      <w:tblPr/>
      <w:tcPr>
        <w:shd w:val="clear" w:color="auto" w:fill="B9F5DF" w:themeFill="accent6" w:themeFillTint="3F"/>
      </w:tcPr>
    </w:tblStylePr>
    <w:tblStylePr w:type="band1Horz">
      <w:tblPr/>
      <w:tcPr>
        <w:shd w:val="clear" w:color="auto" w:fill="B9F5DF" w:themeFill="accent6" w:themeFillTint="3F"/>
      </w:tcPr>
    </w:tblStylePr>
  </w:style>
  <w:style w:type="table" w:styleId="MediumList2">
    <w:name w:val="Medium List 2"/>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B2949" w:themeColor="accent1"/>
        <w:left w:val="single" w:sz="8" w:space="0" w:color="0B2949" w:themeColor="accent1"/>
        <w:bottom w:val="single" w:sz="8" w:space="0" w:color="0B2949" w:themeColor="accent1"/>
        <w:right w:val="single" w:sz="8" w:space="0" w:color="0B2949" w:themeColor="accent1"/>
      </w:tblBorders>
    </w:tblPr>
    <w:tblStylePr w:type="firstRow">
      <w:rPr>
        <w:sz w:val="24"/>
        <w:szCs w:val="24"/>
      </w:rPr>
      <w:tblPr/>
      <w:tcPr>
        <w:tcBorders>
          <w:top w:val="nil"/>
          <w:left w:val="nil"/>
          <w:bottom w:val="single" w:sz="24" w:space="0" w:color="0B2949"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B2949" w:themeColor="accent1"/>
          <w:insideH w:val="nil"/>
          <w:insideV w:val="nil"/>
        </w:tcBorders>
        <w:shd w:val="clear" w:color="auto" w:fill="FFFFFF" w:themeFill="background1"/>
      </w:tcPr>
    </w:tblStylePr>
    <w:tblStylePr w:type="lastCol">
      <w:tblPr/>
      <w:tcPr>
        <w:tcBorders>
          <w:top w:val="nil"/>
          <w:left w:val="single" w:sz="8" w:space="0" w:color="0B29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3C8F1" w:themeFill="accent1" w:themeFillTint="3F"/>
      </w:tcPr>
    </w:tblStylePr>
    <w:tblStylePr w:type="band1Horz">
      <w:tblPr/>
      <w:tcPr>
        <w:tcBorders>
          <w:top w:val="nil"/>
          <w:bottom w:val="nil"/>
          <w:insideH w:val="nil"/>
          <w:insideV w:val="nil"/>
        </w:tcBorders>
        <w:shd w:val="clear" w:color="auto" w:fill="A3C8F1"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02B27" w:themeColor="accent2"/>
        <w:left w:val="single" w:sz="8" w:space="0" w:color="D02B27" w:themeColor="accent2"/>
        <w:bottom w:val="single" w:sz="8" w:space="0" w:color="D02B27" w:themeColor="accent2"/>
        <w:right w:val="single" w:sz="8" w:space="0" w:color="D02B27" w:themeColor="accent2"/>
      </w:tblBorders>
    </w:tblPr>
    <w:tblStylePr w:type="firstRow">
      <w:rPr>
        <w:sz w:val="24"/>
        <w:szCs w:val="24"/>
      </w:rPr>
      <w:tblPr/>
      <w:tcPr>
        <w:tcBorders>
          <w:top w:val="nil"/>
          <w:left w:val="nil"/>
          <w:bottom w:val="single" w:sz="24" w:space="0" w:color="D02B27"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02B27" w:themeColor="accent2"/>
          <w:insideH w:val="nil"/>
          <w:insideV w:val="nil"/>
        </w:tcBorders>
        <w:shd w:val="clear" w:color="auto" w:fill="FFFFFF" w:themeFill="background1"/>
      </w:tcPr>
    </w:tblStylePr>
    <w:tblStylePr w:type="lastCol">
      <w:tblPr/>
      <w:tcPr>
        <w:tcBorders>
          <w:top w:val="nil"/>
          <w:left w:val="single" w:sz="8" w:space="0" w:color="D02B2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C9C8" w:themeFill="accent2" w:themeFillTint="3F"/>
      </w:tcPr>
    </w:tblStylePr>
    <w:tblStylePr w:type="band1Horz">
      <w:tblPr/>
      <w:tcPr>
        <w:tcBorders>
          <w:top w:val="nil"/>
          <w:bottom w:val="nil"/>
          <w:insideH w:val="nil"/>
          <w:insideV w:val="nil"/>
        </w:tcBorders>
        <w:shd w:val="clear" w:color="auto" w:fill="F4C9C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6771" w:themeColor="accent3"/>
        <w:left w:val="single" w:sz="8" w:space="0" w:color="5B6771" w:themeColor="accent3"/>
        <w:bottom w:val="single" w:sz="8" w:space="0" w:color="5B6771" w:themeColor="accent3"/>
        <w:right w:val="single" w:sz="8" w:space="0" w:color="5B6771" w:themeColor="accent3"/>
      </w:tblBorders>
    </w:tblPr>
    <w:tblStylePr w:type="firstRow">
      <w:rPr>
        <w:sz w:val="24"/>
        <w:szCs w:val="24"/>
      </w:rPr>
      <w:tblPr/>
      <w:tcPr>
        <w:tcBorders>
          <w:top w:val="nil"/>
          <w:left w:val="nil"/>
          <w:bottom w:val="single" w:sz="24" w:space="0" w:color="5B6771"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6771" w:themeColor="accent3"/>
          <w:insideH w:val="nil"/>
          <w:insideV w:val="nil"/>
        </w:tcBorders>
        <w:shd w:val="clear" w:color="auto" w:fill="FFFFFF" w:themeFill="background1"/>
      </w:tcPr>
    </w:tblStylePr>
    <w:tblStylePr w:type="lastCol">
      <w:tblPr/>
      <w:tcPr>
        <w:tcBorders>
          <w:top w:val="nil"/>
          <w:left w:val="single" w:sz="8" w:space="0" w:color="5B677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D9DD" w:themeFill="accent3" w:themeFillTint="3F"/>
      </w:tcPr>
    </w:tblStylePr>
    <w:tblStylePr w:type="band1Horz">
      <w:tblPr/>
      <w:tcPr>
        <w:tcBorders>
          <w:top w:val="nil"/>
          <w:bottom w:val="nil"/>
          <w:insideH w:val="nil"/>
          <w:insideV w:val="nil"/>
        </w:tcBorders>
        <w:shd w:val="clear" w:color="auto" w:fill="D5D9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1B51C" w:themeColor="accent4"/>
        <w:left w:val="single" w:sz="8" w:space="0" w:color="F1B51C" w:themeColor="accent4"/>
        <w:bottom w:val="single" w:sz="8" w:space="0" w:color="F1B51C" w:themeColor="accent4"/>
        <w:right w:val="single" w:sz="8" w:space="0" w:color="F1B51C" w:themeColor="accent4"/>
      </w:tblBorders>
    </w:tblPr>
    <w:tblStylePr w:type="firstRow">
      <w:rPr>
        <w:sz w:val="24"/>
        <w:szCs w:val="24"/>
      </w:rPr>
      <w:tblPr/>
      <w:tcPr>
        <w:tcBorders>
          <w:top w:val="nil"/>
          <w:left w:val="nil"/>
          <w:bottom w:val="single" w:sz="24" w:space="0" w:color="F1B51C"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1B51C" w:themeColor="accent4"/>
          <w:insideH w:val="nil"/>
          <w:insideV w:val="nil"/>
        </w:tcBorders>
        <w:shd w:val="clear" w:color="auto" w:fill="FFFFFF" w:themeFill="background1"/>
      </w:tcPr>
    </w:tblStylePr>
    <w:tblStylePr w:type="lastCol">
      <w:tblPr/>
      <w:tcPr>
        <w:tcBorders>
          <w:top w:val="nil"/>
          <w:left w:val="single" w:sz="8" w:space="0" w:color="F1B51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ECC6" w:themeFill="accent4" w:themeFillTint="3F"/>
      </w:tcPr>
    </w:tblStylePr>
    <w:tblStylePr w:type="band1Horz">
      <w:tblPr/>
      <w:tcPr>
        <w:tcBorders>
          <w:top w:val="nil"/>
          <w:bottom w:val="nil"/>
          <w:insideH w:val="nil"/>
          <w:insideV w:val="nil"/>
        </w:tcBorders>
        <w:shd w:val="clear" w:color="auto" w:fill="FBECC6"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89394" w:themeColor="accent5"/>
        <w:left w:val="single" w:sz="8" w:space="0" w:color="189394" w:themeColor="accent5"/>
        <w:bottom w:val="single" w:sz="8" w:space="0" w:color="189394" w:themeColor="accent5"/>
        <w:right w:val="single" w:sz="8" w:space="0" w:color="189394" w:themeColor="accent5"/>
      </w:tblBorders>
    </w:tblPr>
    <w:tblStylePr w:type="firstRow">
      <w:rPr>
        <w:sz w:val="24"/>
        <w:szCs w:val="24"/>
      </w:rPr>
      <w:tblPr/>
      <w:tcPr>
        <w:tcBorders>
          <w:top w:val="nil"/>
          <w:left w:val="nil"/>
          <w:bottom w:val="single" w:sz="24" w:space="0" w:color="18939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89394" w:themeColor="accent5"/>
          <w:insideH w:val="nil"/>
          <w:insideV w:val="nil"/>
        </w:tcBorders>
        <w:shd w:val="clear" w:color="auto" w:fill="FFFFFF" w:themeFill="background1"/>
      </w:tcPr>
    </w:tblStylePr>
    <w:tblStylePr w:type="lastCol">
      <w:tblPr/>
      <w:tcPr>
        <w:tcBorders>
          <w:top w:val="nil"/>
          <w:left w:val="single" w:sz="8" w:space="0" w:color="18939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7F2F3" w:themeFill="accent5" w:themeFillTint="3F"/>
      </w:tcPr>
    </w:tblStylePr>
    <w:tblStylePr w:type="band1Horz">
      <w:tblPr/>
      <w:tcPr>
        <w:tcBorders>
          <w:top w:val="nil"/>
          <w:bottom w:val="nil"/>
          <w:insideH w:val="nil"/>
          <w:insideV w:val="nil"/>
        </w:tcBorders>
        <w:shd w:val="clear" w:color="auto" w:fill="B7F2F3"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nhideWhenUsed/>
    <w:rsid w:val="00DC0A7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7A673" w:themeColor="accent6"/>
        <w:left w:val="single" w:sz="8" w:space="0" w:color="17A673" w:themeColor="accent6"/>
        <w:bottom w:val="single" w:sz="8" w:space="0" w:color="17A673" w:themeColor="accent6"/>
        <w:right w:val="single" w:sz="8" w:space="0" w:color="17A673" w:themeColor="accent6"/>
      </w:tblBorders>
    </w:tblPr>
    <w:tblStylePr w:type="firstRow">
      <w:rPr>
        <w:sz w:val="24"/>
        <w:szCs w:val="24"/>
      </w:rPr>
      <w:tblPr/>
      <w:tcPr>
        <w:tcBorders>
          <w:top w:val="nil"/>
          <w:left w:val="nil"/>
          <w:bottom w:val="single" w:sz="24" w:space="0" w:color="17A673"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7A673" w:themeColor="accent6"/>
          <w:insideH w:val="nil"/>
          <w:insideV w:val="nil"/>
        </w:tcBorders>
        <w:shd w:val="clear" w:color="auto" w:fill="FFFFFF" w:themeFill="background1"/>
      </w:tcPr>
    </w:tblStylePr>
    <w:tblStylePr w:type="lastCol">
      <w:tblPr/>
      <w:tcPr>
        <w:tcBorders>
          <w:top w:val="nil"/>
          <w:left w:val="single" w:sz="8" w:space="0" w:color="17A673"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F5DF" w:themeFill="accent6" w:themeFillTint="3F"/>
      </w:tcPr>
    </w:tblStylePr>
    <w:tblStylePr w:type="band1Horz">
      <w:tblPr/>
      <w:tcPr>
        <w:tcBorders>
          <w:top w:val="nil"/>
          <w:bottom w:val="nil"/>
          <w:insideH w:val="nil"/>
          <w:insideV w:val="nil"/>
        </w:tcBorders>
        <w:shd w:val="clear" w:color="auto" w:fill="B9F5D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nhideWhenUsed/>
    <w:rsid w:val="00DC0A7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nhideWhenUsed/>
    <w:rsid w:val="00DC0A72"/>
    <w:pPr>
      <w:spacing w:after="0" w:line="240" w:lineRule="auto"/>
    </w:pPr>
    <w:tblPr>
      <w:tblStyleRowBandSize w:val="1"/>
      <w:tblStyleColBandSize w:val="1"/>
      <w:tblBorders>
        <w:top w:val="single" w:sz="8" w:space="0" w:color="195CA5" w:themeColor="accent1" w:themeTint="BF"/>
        <w:left w:val="single" w:sz="8" w:space="0" w:color="195CA5" w:themeColor="accent1" w:themeTint="BF"/>
        <w:bottom w:val="single" w:sz="8" w:space="0" w:color="195CA5" w:themeColor="accent1" w:themeTint="BF"/>
        <w:right w:val="single" w:sz="8" w:space="0" w:color="195CA5" w:themeColor="accent1" w:themeTint="BF"/>
        <w:insideH w:val="single" w:sz="8" w:space="0" w:color="195CA5" w:themeColor="accent1" w:themeTint="BF"/>
      </w:tblBorders>
    </w:tblPr>
    <w:tblStylePr w:type="firstRow">
      <w:pPr>
        <w:spacing w:before="0" w:after="0" w:line="240" w:lineRule="auto"/>
      </w:pPr>
      <w:rPr>
        <w:b/>
        <w:bCs/>
        <w:color w:val="FFFFFF" w:themeColor="background1"/>
      </w:rPr>
      <w:tblPr/>
      <w:tcPr>
        <w:tcBorders>
          <w:top w:val="single" w:sz="8" w:space="0" w:color="195CA5" w:themeColor="accent1" w:themeTint="BF"/>
          <w:left w:val="single" w:sz="8" w:space="0" w:color="195CA5" w:themeColor="accent1" w:themeTint="BF"/>
          <w:bottom w:val="single" w:sz="8" w:space="0" w:color="195CA5" w:themeColor="accent1" w:themeTint="BF"/>
          <w:right w:val="single" w:sz="8" w:space="0" w:color="195CA5" w:themeColor="accent1" w:themeTint="BF"/>
          <w:insideH w:val="nil"/>
          <w:insideV w:val="nil"/>
        </w:tcBorders>
        <w:shd w:val="clear" w:color="auto" w:fill="0B2949" w:themeFill="accent1"/>
      </w:tcPr>
    </w:tblStylePr>
    <w:tblStylePr w:type="lastRow">
      <w:pPr>
        <w:spacing w:before="0" w:after="0" w:line="240" w:lineRule="auto"/>
      </w:pPr>
      <w:rPr>
        <w:b/>
        <w:bCs/>
      </w:rPr>
      <w:tblPr/>
      <w:tcPr>
        <w:tcBorders>
          <w:top w:val="double" w:sz="6" w:space="0" w:color="195CA5" w:themeColor="accent1" w:themeTint="BF"/>
          <w:left w:val="single" w:sz="8" w:space="0" w:color="195CA5" w:themeColor="accent1" w:themeTint="BF"/>
          <w:bottom w:val="single" w:sz="8" w:space="0" w:color="195CA5" w:themeColor="accent1" w:themeTint="BF"/>
          <w:right w:val="single" w:sz="8" w:space="0" w:color="195CA5" w:themeColor="accent1" w:themeTint="BF"/>
          <w:insideH w:val="nil"/>
          <w:insideV w:val="nil"/>
        </w:tcBorders>
      </w:tcPr>
    </w:tblStylePr>
    <w:tblStylePr w:type="firstCol">
      <w:rPr>
        <w:b/>
        <w:bCs/>
      </w:rPr>
    </w:tblStylePr>
    <w:tblStylePr w:type="lastCol">
      <w:rPr>
        <w:b/>
        <w:bCs/>
      </w:rPr>
    </w:tblStylePr>
    <w:tblStylePr w:type="band1Vert">
      <w:tblPr/>
      <w:tcPr>
        <w:shd w:val="clear" w:color="auto" w:fill="A3C8F1" w:themeFill="accent1" w:themeFillTint="3F"/>
      </w:tcPr>
    </w:tblStylePr>
    <w:tblStylePr w:type="band1Horz">
      <w:tblPr/>
      <w:tcPr>
        <w:tcBorders>
          <w:insideH w:val="nil"/>
          <w:insideV w:val="nil"/>
        </w:tcBorders>
        <w:shd w:val="clear" w:color="auto" w:fill="A3C8F1"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nhideWhenUsed/>
    <w:rsid w:val="00DC0A72"/>
    <w:pPr>
      <w:spacing w:after="0" w:line="240" w:lineRule="auto"/>
    </w:pPr>
    <w:tblPr>
      <w:tblStyleRowBandSize w:val="1"/>
      <w:tblStyleColBandSize w:val="1"/>
      <w:tblBorders>
        <w:top w:val="single" w:sz="8" w:space="0" w:color="E05C59" w:themeColor="accent2" w:themeTint="BF"/>
        <w:left w:val="single" w:sz="8" w:space="0" w:color="E05C59" w:themeColor="accent2" w:themeTint="BF"/>
        <w:bottom w:val="single" w:sz="8" w:space="0" w:color="E05C59" w:themeColor="accent2" w:themeTint="BF"/>
        <w:right w:val="single" w:sz="8" w:space="0" w:color="E05C59" w:themeColor="accent2" w:themeTint="BF"/>
        <w:insideH w:val="single" w:sz="8" w:space="0" w:color="E05C59" w:themeColor="accent2" w:themeTint="BF"/>
      </w:tblBorders>
    </w:tblPr>
    <w:tblStylePr w:type="firstRow">
      <w:pPr>
        <w:spacing w:before="0" w:after="0" w:line="240" w:lineRule="auto"/>
      </w:pPr>
      <w:rPr>
        <w:b/>
        <w:bCs/>
        <w:color w:val="FFFFFF" w:themeColor="background1"/>
      </w:rPr>
      <w:tblPr/>
      <w:tcPr>
        <w:tcBorders>
          <w:top w:val="single" w:sz="8" w:space="0" w:color="E05C59" w:themeColor="accent2" w:themeTint="BF"/>
          <w:left w:val="single" w:sz="8" w:space="0" w:color="E05C59" w:themeColor="accent2" w:themeTint="BF"/>
          <w:bottom w:val="single" w:sz="8" w:space="0" w:color="E05C59" w:themeColor="accent2" w:themeTint="BF"/>
          <w:right w:val="single" w:sz="8" w:space="0" w:color="E05C59" w:themeColor="accent2" w:themeTint="BF"/>
          <w:insideH w:val="nil"/>
          <w:insideV w:val="nil"/>
        </w:tcBorders>
        <w:shd w:val="clear" w:color="auto" w:fill="D02B27" w:themeFill="accent2"/>
      </w:tcPr>
    </w:tblStylePr>
    <w:tblStylePr w:type="lastRow">
      <w:pPr>
        <w:spacing w:before="0" w:after="0" w:line="240" w:lineRule="auto"/>
      </w:pPr>
      <w:rPr>
        <w:b/>
        <w:bCs/>
      </w:rPr>
      <w:tblPr/>
      <w:tcPr>
        <w:tcBorders>
          <w:top w:val="double" w:sz="6" w:space="0" w:color="E05C59" w:themeColor="accent2" w:themeTint="BF"/>
          <w:left w:val="single" w:sz="8" w:space="0" w:color="E05C59" w:themeColor="accent2" w:themeTint="BF"/>
          <w:bottom w:val="single" w:sz="8" w:space="0" w:color="E05C59" w:themeColor="accent2" w:themeTint="BF"/>
          <w:right w:val="single" w:sz="8" w:space="0" w:color="E05C59" w:themeColor="accent2" w:themeTint="BF"/>
          <w:insideH w:val="nil"/>
          <w:insideV w:val="nil"/>
        </w:tcBorders>
      </w:tcPr>
    </w:tblStylePr>
    <w:tblStylePr w:type="firstCol">
      <w:rPr>
        <w:b/>
        <w:bCs/>
      </w:rPr>
    </w:tblStylePr>
    <w:tblStylePr w:type="lastCol">
      <w:rPr>
        <w:b/>
        <w:bCs/>
      </w:rPr>
    </w:tblStylePr>
    <w:tblStylePr w:type="band1Vert">
      <w:tblPr/>
      <w:tcPr>
        <w:shd w:val="clear" w:color="auto" w:fill="F4C9C8" w:themeFill="accent2" w:themeFillTint="3F"/>
      </w:tcPr>
    </w:tblStylePr>
    <w:tblStylePr w:type="band1Horz">
      <w:tblPr/>
      <w:tcPr>
        <w:tcBorders>
          <w:insideH w:val="nil"/>
          <w:insideV w:val="nil"/>
        </w:tcBorders>
        <w:shd w:val="clear" w:color="auto" w:fill="F4C9C8"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nhideWhenUsed/>
    <w:rsid w:val="00DC0A72"/>
    <w:pPr>
      <w:spacing w:after="0" w:line="240" w:lineRule="auto"/>
    </w:pPr>
    <w:tblPr>
      <w:tblStyleRowBandSize w:val="1"/>
      <w:tblStyleColBandSize w:val="1"/>
      <w:tblBorders>
        <w:top w:val="single" w:sz="8" w:space="0" w:color="7F8D98" w:themeColor="accent3" w:themeTint="BF"/>
        <w:left w:val="single" w:sz="8" w:space="0" w:color="7F8D98" w:themeColor="accent3" w:themeTint="BF"/>
        <w:bottom w:val="single" w:sz="8" w:space="0" w:color="7F8D98" w:themeColor="accent3" w:themeTint="BF"/>
        <w:right w:val="single" w:sz="8" w:space="0" w:color="7F8D98" w:themeColor="accent3" w:themeTint="BF"/>
        <w:insideH w:val="single" w:sz="8" w:space="0" w:color="7F8D98" w:themeColor="accent3" w:themeTint="BF"/>
      </w:tblBorders>
    </w:tblPr>
    <w:tblStylePr w:type="firstRow">
      <w:pPr>
        <w:spacing w:before="0" w:after="0" w:line="240" w:lineRule="auto"/>
      </w:pPr>
      <w:rPr>
        <w:b/>
        <w:bCs/>
        <w:color w:val="FFFFFF" w:themeColor="background1"/>
      </w:rPr>
      <w:tblPr/>
      <w:tcPr>
        <w:tcBorders>
          <w:top w:val="single" w:sz="8" w:space="0" w:color="7F8D98" w:themeColor="accent3" w:themeTint="BF"/>
          <w:left w:val="single" w:sz="8" w:space="0" w:color="7F8D98" w:themeColor="accent3" w:themeTint="BF"/>
          <w:bottom w:val="single" w:sz="8" w:space="0" w:color="7F8D98" w:themeColor="accent3" w:themeTint="BF"/>
          <w:right w:val="single" w:sz="8" w:space="0" w:color="7F8D98" w:themeColor="accent3" w:themeTint="BF"/>
          <w:insideH w:val="nil"/>
          <w:insideV w:val="nil"/>
        </w:tcBorders>
        <w:shd w:val="clear" w:color="auto" w:fill="5B6771" w:themeFill="accent3"/>
      </w:tcPr>
    </w:tblStylePr>
    <w:tblStylePr w:type="lastRow">
      <w:pPr>
        <w:spacing w:before="0" w:after="0" w:line="240" w:lineRule="auto"/>
      </w:pPr>
      <w:rPr>
        <w:b/>
        <w:bCs/>
      </w:rPr>
      <w:tblPr/>
      <w:tcPr>
        <w:tcBorders>
          <w:top w:val="double" w:sz="6" w:space="0" w:color="7F8D98" w:themeColor="accent3" w:themeTint="BF"/>
          <w:left w:val="single" w:sz="8" w:space="0" w:color="7F8D98" w:themeColor="accent3" w:themeTint="BF"/>
          <w:bottom w:val="single" w:sz="8" w:space="0" w:color="7F8D98" w:themeColor="accent3" w:themeTint="BF"/>
          <w:right w:val="single" w:sz="8" w:space="0" w:color="7F8D98" w:themeColor="accent3" w:themeTint="BF"/>
          <w:insideH w:val="nil"/>
          <w:insideV w:val="nil"/>
        </w:tcBorders>
      </w:tcPr>
    </w:tblStylePr>
    <w:tblStylePr w:type="firstCol">
      <w:rPr>
        <w:b/>
        <w:bCs/>
      </w:rPr>
    </w:tblStylePr>
    <w:tblStylePr w:type="lastCol">
      <w:rPr>
        <w:b/>
        <w:bCs/>
      </w:rPr>
    </w:tblStylePr>
    <w:tblStylePr w:type="band1Vert">
      <w:tblPr/>
      <w:tcPr>
        <w:shd w:val="clear" w:color="auto" w:fill="D5D9DD" w:themeFill="accent3" w:themeFillTint="3F"/>
      </w:tcPr>
    </w:tblStylePr>
    <w:tblStylePr w:type="band1Horz">
      <w:tblPr/>
      <w:tcPr>
        <w:tcBorders>
          <w:insideH w:val="nil"/>
          <w:insideV w:val="nil"/>
        </w:tcBorders>
        <w:shd w:val="clear" w:color="auto" w:fill="D5D9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nhideWhenUsed/>
    <w:rsid w:val="00DC0A72"/>
    <w:pPr>
      <w:spacing w:after="0" w:line="240" w:lineRule="auto"/>
    </w:pPr>
    <w:tblPr>
      <w:tblStyleRowBandSize w:val="1"/>
      <w:tblStyleColBandSize w:val="1"/>
      <w:tblBorders>
        <w:top w:val="single" w:sz="8" w:space="0" w:color="F4C754" w:themeColor="accent4" w:themeTint="BF"/>
        <w:left w:val="single" w:sz="8" w:space="0" w:color="F4C754" w:themeColor="accent4" w:themeTint="BF"/>
        <w:bottom w:val="single" w:sz="8" w:space="0" w:color="F4C754" w:themeColor="accent4" w:themeTint="BF"/>
        <w:right w:val="single" w:sz="8" w:space="0" w:color="F4C754" w:themeColor="accent4" w:themeTint="BF"/>
        <w:insideH w:val="single" w:sz="8" w:space="0" w:color="F4C754" w:themeColor="accent4" w:themeTint="BF"/>
      </w:tblBorders>
    </w:tblPr>
    <w:tblStylePr w:type="firstRow">
      <w:pPr>
        <w:spacing w:before="0" w:after="0" w:line="240" w:lineRule="auto"/>
      </w:pPr>
      <w:rPr>
        <w:b/>
        <w:bCs/>
        <w:color w:val="FFFFFF" w:themeColor="background1"/>
      </w:rPr>
      <w:tblPr/>
      <w:tcPr>
        <w:tcBorders>
          <w:top w:val="single" w:sz="8" w:space="0" w:color="F4C754" w:themeColor="accent4" w:themeTint="BF"/>
          <w:left w:val="single" w:sz="8" w:space="0" w:color="F4C754" w:themeColor="accent4" w:themeTint="BF"/>
          <w:bottom w:val="single" w:sz="8" w:space="0" w:color="F4C754" w:themeColor="accent4" w:themeTint="BF"/>
          <w:right w:val="single" w:sz="8" w:space="0" w:color="F4C754" w:themeColor="accent4" w:themeTint="BF"/>
          <w:insideH w:val="nil"/>
          <w:insideV w:val="nil"/>
        </w:tcBorders>
        <w:shd w:val="clear" w:color="auto" w:fill="F1B51C" w:themeFill="accent4"/>
      </w:tcPr>
    </w:tblStylePr>
    <w:tblStylePr w:type="lastRow">
      <w:pPr>
        <w:spacing w:before="0" w:after="0" w:line="240" w:lineRule="auto"/>
      </w:pPr>
      <w:rPr>
        <w:b/>
        <w:bCs/>
      </w:rPr>
      <w:tblPr/>
      <w:tcPr>
        <w:tcBorders>
          <w:top w:val="double" w:sz="6" w:space="0" w:color="F4C754" w:themeColor="accent4" w:themeTint="BF"/>
          <w:left w:val="single" w:sz="8" w:space="0" w:color="F4C754" w:themeColor="accent4" w:themeTint="BF"/>
          <w:bottom w:val="single" w:sz="8" w:space="0" w:color="F4C754" w:themeColor="accent4" w:themeTint="BF"/>
          <w:right w:val="single" w:sz="8" w:space="0" w:color="F4C75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BECC6" w:themeFill="accent4" w:themeFillTint="3F"/>
      </w:tcPr>
    </w:tblStylePr>
    <w:tblStylePr w:type="band1Horz">
      <w:tblPr/>
      <w:tcPr>
        <w:tcBorders>
          <w:insideH w:val="nil"/>
          <w:insideV w:val="nil"/>
        </w:tcBorders>
        <w:shd w:val="clear" w:color="auto" w:fill="FBECC6"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nhideWhenUsed/>
    <w:rsid w:val="00DC0A72"/>
    <w:pPr>
      <w:spacing w:after="0" w:line="240" w:lineRule="auto"/>
    </w:pPr>
    <w:tblPr>
      <w:tblStyleRowBandSize w:val="1"/>
      <w:tblStyleColBandSize w:val="1"/>
      <w:tblBorders>
        <w:top w:val="single" w:sz="8" w:space="0" w:color="25D9DB" w:themeColor="accent5" w:themeTint="BF"/>
        <w:left w:val="single" w:sz="8" w:space="0" w:color="25D9DB" w:themeColor="accent5" w:themeTint="BF"/>
        <w:bottom w:val="single" w:sz="8" w:space="0" w:color="25D9DB" w:themeColor="accent5" w:themeTint="BF"/>
        <w:right w:val="single" w:sz="8" w:space="0" w:color="25D9DB" w:themeColor="accent5" w:themeTint="BF"/>
        <w:insideH w:val="single" w:sz="8" w:space="0" w:color="25D9DB" w:themeColor="accent5" w:themeTint="BF"/>
      </w:tblBorders>
    </w:tblPr>
    <w:tblStylePr w:type="firstRow">
      <w:pPr>
        <w:spacing w:before="0" w:after="0" w:line="240" w:lineRule="auto"/>
      </w:pPr>
      <w:rPr>
        <w:b/>
        <w:bCs/>
        <w:color w:val="FFFFFF" w:themeColor="background1"/>
      </w:rPr>
      <w:tblPr/>
      <w:tcPr>
        <w:tcBorders>
          <w:top w:val="single" w:sz="8" w:space="0" w:color="25D9DB" w:themeColor="accent5" w:themeTint="BF"/>
          <w:left w:val="single" w:sz="8" w:space="0" w:color="25D9DB" w:themeColor="accent5" w:themeTint="BF"/>
          <w:bottom w:val="single" w:sz="8" w:space="0" w:color="25D9DB" w:themeColor="accent5" w:themeTint="BF"/>
          <w:right w:val="single" w:sz="8" w:space="0" w:color="25D9DB" w:themeColor="accent5" w:themeTint="BF"/>
          <w:insideH w:val="nil"/>
          <w:insideV w:val="nil"/>
        </w:tcBorders>
        <w:shd w:val="clear" w:color="auto" w:fill="189394" w:themeFill="accent5"/>
      </w:tcPr>
    </w:tblStylePr>
    <w:tblStylePr w:type="lastRow">
      <w:pPr>
        <w:spacing w:before="0" w:after="0" w:line="240" w:lineRule="auto"/>
      </w:pPr>
      <w:rPr>
        <w:b/>
        <w:bCs/>
      </w:rPr>
      <w:tblPr/>
      <w:tcPr>
        <w:tcBorders>
          <w:top w:val="double" w:sz="6" w:space="0" w:color="25D9DB" w:themeColor="accent5" w:themeTint="BF"/>
          <w:left w:val="single" w:sz="8" w:space="0" w:color="25D9DB" w:themeColor="accent5" w:themeTint="BF"/>
          <w:bottom w:val="single" w:sz="8" w:space="0" w:color="25D9DB" w:themeColor="accent5" w:themeTint="BF"/>
          <w:right w:val="single" w:sz="8" w:space="0" w:color="25D9DB" w:themeColor="accent5" w:themeTint="BF"/>
          <w:insideH w:val="nil"/>
          <w:insideV w:val="nil"/>
        </w:tcBorders>
      </w:tcPr>
    </w:tblStylePr>
    <w:tblStylePr w:type="firstCol">
      <w:rPr>
        <w:b/>
        <w:bCs/>
      </w:rPr>
    </w:tblStylePr>
    <w:tblStylePr w:type="lastCol">
      <w:rPr>
        <w:b/>
        <w:bCs/>
      </w:rPr>
    </w:tblStylePr>
    <w:tblStylePr w:type="band1Vert">
      <w:tblPr/>
      <w:tcPr>
        <w:shd w:val="clear" w:color="auto" w:fill="B7F2F3" w:themeFill="accent5" w:themeFillTint="3F"/>
      </w:tcPr>
    </w:tblStylePr>
    <w:tblStylePr w:type="band1Horz">
      <w:tblPr/>
      <w:tcPr>
        <w:tcBorders>
          <w:insideH w:val="nil"/>
          <w:insideV w:val="nil"/>
        </w:tcBorders>
        <w:shd w:val="clear" w:color="auto" w:fill="B7F2F3"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nhideWhenUsed/>
    <w:rsid w:val="00DC0A72"/>
    <w:pPr>
      <w:spacing w:after="0" w:line="240" w:lineRule="auto"/>
    </w:pPr>
    <w:tblPr>
      <w:tblStyleRowBandSize w:val="1"/>
      <w:tblStyleColBandSize w:val="1"/>
      <w:tblBorders>
        <w:top w:val="single" w:sz="8" w:space="0" w:color="2BE1A0" w:themeColor="accent6" w:themeTint="BF"/>
        <w:left w:val="single" w:sz="8" w:space="0" w:color="2BE1A0" w:themeColor="accent6" w:themeTint="BF"/>
        <w:bottom w:val="single" w:sz="8" w:space="0" w:color="2BE1A0" w:themeColor="accent6" w:themeTint="BF"/>
        <w:right w:val="single" w:sz="8" w:space="0" w:color="2BE1A0" w:themeColor="accent6" w:themeTint="BF"/>
        <w:insideH w:val="single" w:sz="8" w:space="0" w:color="2BE1A0" w:themeColor="accent6" w:themeTint="BF"/>
      </w:tblBorders>
    </w:tblPr>
    <w:tblStylePr w:type="firstRow">
      <w:pPr>
        <w:spacing w:before="0" w:after="0" w:line="240" w:lineRule="auto"/>
      </w:pPr>
      <w:rPr>
        <w:b/>
        <w:bCs/>
        <w:color w:val="FFFFFF" w:themeColor="background1"/>
      </w:rPr>
      <w:tblPr/>
      <w:tcPr>
        <w:tcBorders>
          <w:top w:val="single" w:sz="8" w:space="0" w:color="2BE1A0" w:themeColor="accent6" w:themeTint="BF"/>
          <w:left w:val="single" w:sz="8" w:space="0" w:color="2BE1A0" w:themeColor="accent6" w:themeTint="BF"/>
          <w:bottom w:val="single" w:sz="8" w:space="0" w:color="2BE1A0" w:themeColor="accent6" w:themeTint="BF"/>
          <w:right w:val="single" w:sz="8" w:space="0" w:color="2BE1A0" w:themeColor="accent6" w:themeTint="BF"/>
          <w:insideH w:val="nil"/>
          <w:insideV w:val="nil"/>
        </w:tcBorders>
        <w:shd w:val="clear" w:color="auto" w:fill="17A673" w:themeFill="accent6"/>
      </w:tcPr>
    </w:tblStylePr>
    <w:tblStylePr w:type="lastRow">
      <w:pPr>
        <w:spacing w:before="0" w:after="0" w:line="240" w:lineRule="auto"/>
      </w:pPr>
      <w:rPr>
        <w:b/>
        <w:bCs/>
      </w:rPr>
      <w:tblPr/>
      <w:tcPr>
        <w:tcBorders>
          <w:top w:val="double" w:sz="6" w:space="0" w:color="2BE1A0" w:themeColor="accent6" w:themeTint="BF"/>
          <w:left w:val="single" w:sz="8" w:space="0" w:color="2BE1A0" w:themeColor="accent6" w:themeTint="BF"/>
          <w:bottom w:val="single" w:sz="8" w:space="0" w:color="2BE1A0" w:themeColor="accent6" w:themeTint="BF"/>
          <w:right w:val="single" w:sz="8" w:space="0" w:color="2BE1A0" w:themeColor="accent6" w:themeTint="BF"/>
          <w:insideH w:val="nil"/>
          <w:insideV w:val="nil"/>
        </w:tcBorders>
      </w:tcPr>
    </w:tblStylePr>
    <w:tblStylePr w:type="firstCol">
      <w:rPr>
        <w:b/>
        <w:bCs/>
      </w:rPr>
    </w:tblStylePr>
    <w:tblStylePr w:type="lastCol">
      <w:rPr>
        <w:b/>
        <w:bCs/>
      </w:rPr>
    </w:tblStylePr>
    <w:tblStylePr w:type="band1Vert">
      <w:tblPr/>
      <w:tcPr>
        <w:shd w:val="clear" w:color="auto" w:fill="B9F5DF" w:themeFill="accent6" w:themeFillTint="3F"/>
      </w:tcPr>
    </w:tblStylePr>
    <w:tblStylePr w:type="band1Horz">
      <w:tblPr/>
      <w:tcPr>
        <w:tcBorders>
          <w:insideH w:val="nil"/>
          <w:insideV w:val="nil"/>
        </w:tcBorders>
        <w:shd w:val="clear" w:color="auto" w:fill="B9F5DF" w:themeFill="accent6" w:themeFillTint="3F"/>
      </w:tcPr>
    </w:tblStylePr>
    <w:tblStylePr w:type="band2Horz">
      <w:tblPr/>
      <w:tcPr>
        <w:tcBorders>
          <w:insideH w:val="nil"/>
          <w:insideV w:val="nil"/>
        </w:tcBorders>
      </w:tcPr>
    </w:tblStylePr>
  </w:style>
  <w:style w:type="table" w:styleId="MediumShading2">
    <w:name w:val="Medium Shading 2"/>
    <w:basedOn w:val="TableNormal"/>
    <w:unhideWhenUsed/>
    <w:rsid w:val="00DC0A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nhideWhenUsed/>
    <w:rsid w:val="00DC0A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B29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B2949" w:themeFill="accent1"/>
      </w:tcPr>
    </w:tblStylePr>
    <w:tblStylePr w:type="lastCol">
      <w:rPr>
        <w:b/>
        <w:bCs/>
        <w:color w:val="FFFFFF" w:themeColor="background1"/>
      </w:rPr>
      <w:tblPr/>
      <w:tcPr>
        <w:tcBorders>
          <w:left w:val="nil"/>
          <w:right w:val="nil"/>
          <w:insideH w:val="nil"/>
          <w:insideV w:val="nil"/>
        </w:tcBorders>
        <w:shd w:val="clear" w:color="auto" w:fill="0B29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nhideWhenUsed/>
    <w:rsid w:val="00DC0A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02B2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D02B27" w:themeFill="accent2"/>
      </w:tcPr>
    </w:tblStylePr>
    <w:tblStylePr w:type="lastCol">
      <w:rPr>
        <w:b/>
        <w:bCs/>
        <w:color w:val="FFFFFF" w:themeColor="background1"/>
      </w:rPr>
      <w:tblPr/>
      <w:tcPr>
        <w:tcBorders>
          <w:left w:val="nil"/>
          <w:right w:val="nil"/>
          <w:insideH w:val="nil"/>
          <w:insideV w:val="nil"/>
        </w:tcBorders>
        <w:shd w:val="clear" w:color="auto" w:fill="D02B2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nhideWhenUsed/>
    <w:rsid w:val="00DC0A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677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6771" w:themeFill="accent3"/>
      </w:tcPr>
    </w:tblStylePr>
    <w:tblStylePr w:type="lastCol">
      <w:rPr>
        <w:b/>
        <w:bCs/>
        <w:color w:val="FFFFFF" w:themeColor="background1"/>
      </w:rPr>
      <w:tblPr/>
      <w:tcPr>
        <w:tcBorders>
          <w:left w:val="nil"/>
          <w:right w:val="nil"/>
          <w:insideH w:val="nil"/>
          <w:insideV w:val="nil"/>
        </w:tcBorders>
        <w:shd w:val="clear" w:color="auto" w:fill="5B677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nhideWhenUsed/>
    <w:rsid w:val="00DC0A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1B51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1B51C" w:themeFill="accent4"/>
      </w:tcPr>
    </w:tblStylePr>
    <w:tblStylePr w:type="lastCol">
      <w:rPr>
        <w:b/>
        <w:bCs/>
        <w:color w:val="FFFFFF" w:themeColor="background1"/>
      </w:rPr>
      <w:tblPr/>
      <w:tcPr>
        <w:tcBorders>
          <w:left w:val="nil"/>
          <w:right w:val="nil"/>
          <w:insideH w:val="nil"/>
          <w:insideV w:val="nil"/>
        </w:tcBorders>
        <w:shd w:val="clear" w:color="auto" w:fill="F1B51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nhideWhenUsed/>
    <w:rsid w:val="00DC0A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8939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89394" w:themeFill="accent5"/>
      </w:tcPr>
    </w:tblStylePr>
    <w:tblStylePr w:type="lastCol">
      <w:rPr>
        <w:b/>
        <w:bCs/>
        <w:color w:val="FFFFFF" w:themeColor="background1"/>
      </w:rPr>
      <w:tblPr/>
      <w:tcPr>
        <w:tcBorders>
          <w:left w:val="nil"/>
          <w:right w:val="nil"/>
          <w:insideH w:val="nil"/>
          <w:insideV w:val="nil"/>
        </w:tcBorders>
        <w:shd w:val="clear" w:color="auto" w:fill="18939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nhideWhenUsed/>
    <w:rsid w:val="00DC0A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7A673"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7A673" w:themeFill="accent6"/>
      </w:tcPr>
    </w:tblStylePr>
    <w:tblStylePr w:type="lastCol">
      <w:rPr>
        <w:b/>
        <w:bCs/>
        <w:color w:val="FFFFFF" w:themeColor="background1"/>
      </w:rPr>
      <w:tblPr/>
      <w:tcPr>
        <w:tcBorders>
          <w:left w:val="nil"/>
          <w:right w:val="nil"/>
          <w:insideH w:val="nil"/>
          <w:insideV w:val="nil"/>
        </w:tcBorders>
        <w:shd w:val="clear" w:color="auto" w:fill="17A673"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semiHidden/>
    <w:rsid w:val="00DC0A72"/>
    <w:rPr>
      <w:color w:val="2B579A"/>
      <w:shd w:val="clear" w:color="auto" w:fill="E1DFDD"/>
    </w:rPr>
  </w:style>
  <w:style w:type="paragraph" w:styleId="MessageHeader">
    <w:name w:val="Message Header"/>
    <w:basedOn w:val="Normal"/>
    <w:link w:val="MessageHeaderChar"/>
    <w:semiHidden/>
    <w:rsid w:val="00DC0A72"/>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C0A72"/>
    <w:rPr>
      <w:rFonts w:asciiTheme="majorHAnsi" w:eastAsiaTheme="majorEastAsia" w:hAnsiTheme="majorHAnsi" w:cstheme="majorBidi"/>
      <w:sz w:val="24"/>
      <w:szCs w:val="24"/>
      <w:shd w:val="pct20" w:color="auto" w:fill="auto"/>
    </w:rPr>
  </w:style>
  <w:style w:type="paragraph" w:styleId="NormalWeb">
    <w:name w:val="Normal (Web)"/>
    <w:basedOn w:val="Normal"/>
    <w:semiHidden/>
    <w:rsid w:val="00DC0A72"/>
    <w:rPr>
      <w:rFonts w:ascii="Times New Roman" w:hAnsi="Times New Roman" w:cs="Times New Roman"/>
      <w:sz w:val="24"/>
      <w:szCs w:val="24"/>
    </w:rPr>
  </w:style>
  <w:style w:type="paragraph" w:styleId="NormalIndent">
    <w:name w:val="Normal Indent"/>
    <w:basedOn w:val="Normal"/>
    <w:semiHidden/>
    <w:rsid w:val="00DC0A72"/>
    <w:pPr>
      <w:ind w:left="720"/>
    </w:pPr>
  </w:style>
  <w:style w:type="character" w:styleId="PageNumber">
    <w:name w:val="page number"/>
    <w:basedOn w:val="DefaultParagraphFont"/>
    <w:semiHidden/>
    <w:rsid w:val="00DC0A72"/>
  </w:style>
  <w:style w:type="table" w:styleId="PlainTable1">
    <w:name w:val="Plain Table 1"/>
    <w:basedOn w:val="TableNormal"/>
    <w:rsid w:val="00DC0A7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DC0A7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rsid w:val="00DC0A7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DC0A7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rsid w:val="00DC0A7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rsid w:val="00DC0A72"/>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DC0A72"/>
    <w:rPr>
      <w:rFonts w:ascii="Consolas" w:hAnsi="Consolas"/>
      <w:sz w:val="21"/>
      <w:szCs w:val="21"/>
    </w:rPr>
  </w:style>
  <w:style w:type="paragraph" w:styleId="Signature">
    <w:name w:val="Signature"/>
    <w:basedOn w:val="Normal"/>
    <w:link w:val="SignatureChar"/>
    <w:semiHidden/>
    <w:rsid w:val="00DC0A72"/>
    <w:pPr>
      <w:spacing w:after="0" w:line="240" w:lineRule="auto"/>
      <w:ind w:left="4320"/>
    </w:pPr>
  </w:style>
  <w:style w:type="character" w:customStyle="1" w:styleId="SignatureChar">
    <w:name w:val="Signature Char"/>
    <w:basedOn w:val="DefaultParagraphFont"/>
    <w:link w:val="Signature"/>
    <w:semiHidden/>
    <w:rsid w:val="00DC0A72"/>
    <w:rPr>
      <w:sz w:val="20"/>
    </w:rPr>
  </w:style>
  <w:style w:type="character" w:styleId="SmartHyperlink">
    <w:name w:val="Smart Hyperlink"/>
    <w:basedOn w:val="DefaultParagraphFont"/>
    <w:semiHidden/>
    <w:rsid w:val="00DC0A72"/>
    <w:rPr>
      <w:u w:val="dotted"/>
    </w:rPr>
  </w:style>
  <w:style w:type="character" w:styleId="Strong">
    <w:name w:val="Strong"/>
    <w:basedOn w:val="DefaultParagraphFont"/>
    <w:semiHidden/>
    <w:rsid w:val="00DC0A72"/>
    <w:rPr>
      <w:b/>
      <w:bCs/>
    </w:rPr>
  </w:style>
  <w:style w:type="character" w:styleId="SubtleEmphasis">
    <w:name w:val="Subtle Emphasis"/>
    <w:basedOn w:val="DefaultParagraphFont"/>
    <w:semiHidden/>
    <w:rsid w:val="00DC0A72"/>
    <w:rPr>
      <w:i/>
      <w:iCs/>
      <w:color w:val="404040" w:themeColor="text1" w:themeTint="BF"/>
    </w:rPr>
  </w:style>
  <w:style w:type="character" w:styleId="SubtleReference">
    <w:name w:val="Subtle Reference"/>
    <w:basedOn w:val="DefaultParagraphFont"/>
    <w:semiHidden/>
    <w:rsid w:val="00DC0A72"/>
    <w:rPr>
      <w:smallCaps/>
      <w:color w:val="5A5A5A" w:themeColor="text1" w:themeTint="A5"/>
    </w:rPr>
  </w:style>
  <w:style w:type="table" w:styleId="Table3Deffects1">
    <w:name w:val="Table 3D effects 1"/>
    <w:basedOn w:val="TableNormal"/>
    <w:unhideWhenUsed/>
    <w:rsid w:val="00DC0A72"/>
    <w:pPr>
      <w:spacing w:line="264"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DC0A72"/>
    <w:pPr>
      <w:spacing w:line="264"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DC0A72"/>
    <w:pPr>
      <w:spacing w:line="264"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nhideWhenUsed/>
    <w:rsid w:val="00DC0A72"/>
    <w:pPr>
      <w:spacing w:line="264"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DC0A72"/>
    <w:pPr>
      <w:spacing w:line="264"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DC0A72"/>
    <w:pPr>
      <w:spacing w:line="264"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DC0A72"/>
    <w:pPr>
      <w:spacing w:line="264"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DC0A72"/>
    <w:pPr>
      <w:spacing w:line="264"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DC0A72"/>
    <w:pPr>
      <w:spacing w:line="264"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DC0A72"/>
    <w:pPr>
      <w:spacing w:line="264"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DC0A72"/>
    <w:pPr>
      <w:spacing w:line="264"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DC0A72"/>
    <w:pPr>
      <w:spacing w:line="264"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DC0A72"/>
    <w:pPr>
      <w:spacing w:line="264"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DC0A72"/>
    <w:pPr>
      <w:spacing w:line="264"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DC0A72"/>
    <w:pPr>
      <w:spacing w:line="264"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nhideWhenUsed/>
    <w:rsid w:val="00DC0A72"/>
    <w:pPr>
      <w:spacing w:line="264"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DC0A72"/>
    <w:pPr>
      <w:spacing w:line="264"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nhideWhenUsed/>
    <w:rsid w:val="00DC0A72"/>
    <w:pPr>
      <w:spacing w:line="264"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nhideWhenUsed/>
    <w:rsid w:val="00DC0A72"/>
    <w:pPr>
      <w:spacing w:line="264"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DC0A72"/>
    <w:pPr>
      <w:spacing w:line="264"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DC0A72"/>
    <w:pPr>
      <w:spacing w:line="264"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DC0A72"/>
    <w:pPr>
      <w:spacing w:line="264"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DC0A72"/>
    <w:pPr>
      <w:spacing w:line="264"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DC0A72"/>
    <w:pPr>
      <w:spacing w:line="264"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DC0A72"/>
    <w:pPr>
      <w:spacing w:line="264"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rsid w:val="00DC0A7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nhideWhenUsed/>
    <w:rsid w:val="00DC0A72"/>
    <w:pPr>
      <w:spacing w:line="264"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DC0A72"/>
    <w:pPr>
      <w:spacing w:line="264"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DC0A72"/>
    <w:pPr>
      <w:spacing w:line="264"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DC0A72"/>
    <w:pPr>
      <w:spacing w:line="264"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DC0A72"/>
    <w:pPr>
      <w:spacing w:line="264"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DC0A72"/>
    <w:pPr>
      <w:spacing w:line="264"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nhideWhenUsed/>
    <w:rsid w:val="00DC0A72"/>
    <w:pPr>
      <w:spacing w:line="264"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DC0A72"/>
    <w:pPr>
      <w:spacing w:line="264"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DC0A72"/>
    <w:pPr>
      <w:spacing w:after="0"/>
      <w:ind w:left="220" w:hanging="220"/>
    </w:pPr>
  </w:style>
  <w:style w:type="paragraph" w:styleId="TableofFigures">
    <w:name w:val="table of figures"/>
    <w:basedOn w:val="Normal"/>
    <w:next w:val="Normal"/>
    <w:semiHidden/>
    <w:rsid w:val="00DC0A72"/>
    <w:pPr>
      <w:spacing w:after="0"/>
    </w:pPr>
  </w:style>
  <w:style w:type="table" w:styleId="TableProfessional">
    <w:name w:val="Table Professional"/>
    <w:basedOn w:val="TableNormal"/>
    <w:unhideWhenUsed/>
    <w:rsid w:val="00DC0A72"/>
    <w:pPr>
      <w:spacing w:line="264"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nhideWhenUsed/>
    <w:rsid w:val="00DC0A72"/>
    <w:pPr>
      <w:spacing w:line="264"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DC0A72"/>
    <w:pPr>
      <w:spacing w:line="264"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DC0A72"/>
    <w:pPr>
      <w:spacing w:line="264"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DC0A72"/>
    <w:pPr>
      <w:spacing w:line="264"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DC0A72"/>
    <w:pPr>
      <w:spacing w:line="264"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DC0A72"/>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nhideWhenUsed/>
    <w:rsid w:val="00DC0A72"/>
    <w:pPr>
      <w:spacing w:line="264"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DC0A72"/>
    <w:pPr>
      <w:spacing w:line="264"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DC0A72"/>
    <w:pPr>
      <w:spacing w:line="264"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DC0A72"/>
    <w:pPr>
      <w:spacing w:before="120"/>
    </w:pPr>
    <w:rPr>
      <w:rFonts w:asciiTheme="majorHAnsi" w:eastAsiaTheme="majorEastAsia" w:hAnsiTheme="majorHAnsi" w:cstheme="majorBidi"/>
      <w:b/>
      <w:bCs/>
      <w:sz w:val="24"/>
      <w:szCs w:val="24"/>
    </w:rPr>
  </w:style>
  <w:style w:type="paragraph" w:styleId="TOC5">
    <w:name w:val="toc 5"/>
    <w:basedOn w:val="Normal"/>
    <w:next w:val="Normal"/>
    <w:semiHidden/>
    <w:rsid w:val="00DC0A72"/>
    <w:pPr>
      <w:spacing w:after="100"/>
      <w:ind w:left="880"/>
    </w:pPr>
    <w:rPr>
      <w:rFonts w:asciiTheme="majorHAnsi" w:hAnsiTheme="majorHAnsi"/>
    </w:rPr>
  </w:style>
  <w:style w:type="paragraph" w:styleId="TOC6">
    <w:name w:val="toc 6"/>
    <w:basedOn w:val="Normal"/>
    <w:next w:val="Normal"/>
    <w:semiHidden/>
    <w:rsid w:val="00DC0A72"/>
    <w:pPr>
      <w:spacing w:after="100"/>
      <w:ind w:left="1100"/>
    </w:pPr>
    <w:rPr>
      <w:rFonts w:asciiTheme="majorHAnsi" w:hAnsiTheme="majorHAnsi"/>
    </w:rPr>
  </w:style>
  <w:style w:type="paragraph" w:styleId="TOC7">
    <w:name w:val="toc 7"/>
    <w:basedOn w:val="Normal"/>
    <w:next w:val="Normal"/>
    <w:semiHidden/>
    <w:rsid w:val="00DC0A72"/>
    <w:pPr>
      <w:spacing w:after="100"/>
      <w:ind w:left="1320"/>
    </w:pPr>
    <w:rPr>
      <w:rFonts w:asciiTheme="majorHAnsi" w:hAnsiTheme="majorHAnsi"/>
    </w:rPr>
  </w:style>
  <w:style w:type="paragraph" w:styleId="TOC8">
    <w:name w:val="toc 8"/>
    <w:basedOn w:val="Normal"/>
    <w:next w:val="Normal"/>
    <w:semiHidden/>
    <w:rsid w:val="00DC0A72"/>
    <w:pPr>
      <w:tabs>
        <w:tab w:val="right" w:leader="dot" w:pos="9360"/>
      </w:tabs>
      <w:spacing w:before="140" w:after="160"/>
      <w:ind w:left="1080" w:right="720" w:hanging="1080"/>
    </w:pPr>
    <w:rPr>
      <w:rFonts w:asciiTheme="majorHAnsi" w:hAnsiTheme="majorHAnsi"/>
      <w:sz w:val="19"/>
    </w:rPr>
  </w:style>
  <w:style w:type="paragraph" w:styleId="TOC9">
    <w:name w:val="toc 9"/>
    <w:basedOn w:val="Normal"/>
    <w:next w:val="Normal"/>
    <w:semiHidden/>
    <w:rsid w:val="00DC0A72"/>
    <w:pPr>
      <w:tabs>
        <w:tab w:val="right" w:leader="dot" w:pos="9360"/>
      </w:tabs>
      <w:spacing w:before="140" w:after="160"/>
      <w:ind w:left="720" w:right="720" w:hanging="720"/>
    </w:pPr>
    <w:rPr>
      <w:rFonts w:asciiTheme="majorHAnsi" w:hAnsiTheme="majorHAnsi"/>
      <w:sz w:val="19"/>
    </w:rPr>
  </w:style>
  <w:style w:type="character" w:styleId="SmartLink">
    <w:name w:val="Smart Link"/>
    <w:basedOn w:val="DefaultParagraphFont"/>
    <w:semiHidden/>
    <w:unhideWhenUsed/>
    <w:rsid w:val="00DC0A72"/>
    <w:rPr>
      <w:color w:val="0563C1" w:themeColor="hyperlink"/>
      <w:u w:val="single"/>
      <w:shd w:val="clear" w:color="auto" w:fill="E1DFDD"/>
    </w:rPr>
  </w:style>
  <w:style w:type="character" w:customStyle="1" w:styleId="SmartLinkError">
    <w:name w:val="Smart Link Error"/>
    <w:basedOn w:val="DefaultParagraphFont"/>
    <w:semiHidden/>
    <w:unhideWhenUsed/>
    <w:rsid w:val="00DC0A72"/>
    <w:rPr>
      <w:color w:val="FF0000"/>
    </w:rPr>
  </w:style>
  <w:style w:type="paragraph" w:customStyle="1" w:styleId="FootnoteSep">
    <w:name w:val="Footnote Sep"/>
    <w:basedOn w:val="Normal"/>
    <w:semiHidden/>
    <w:rsid w:val="00DC0A72"/>
    <w:pPr>
      <w:pBdr>
        <w:top w:val="single" w:sz="4" w:space="1" w:color="046B5C" w:themeColor="text2"/>
      </w:pBdr>
      <w:spacing w:before="80" w:after="80" w:line="40" w:lineRule="exact"/>
    </w:pPr>
    <w:rPr>
      <w:rFonts w:eastAsia="Times New Roman" w:cs="Times New Roman"/>
      <w:color w:val="FFFFFF" w:themeColor="background1"/>
      <w:sz w:val="4"/>
      <w:szCs w:val="20"/>
    </w:rPr>
  </w:style>
  <w:style w:type="paragraph" w:customStyle="1" w:styleId="FooterLetterhead">
    <w:name w:val="Footer Letterhead"/>
    <w:basedOn w:val="Footer"/>
    <w:semiHidden/>
    <w:rsid w:val="00DC0A72"/>
    <w:pPr>
      <w:spacing w:before="360" w:line="336" w:lineRule="auto"/>
      <w:ind w:left="-1080" w:right="-1080"/>
      <w:contextualSpacing/>
      <w:jc w:val="center"/>
    </w:pPr>
    <w:rPr>
      <w:color w:val="0B2949" w:themeColor="accent1"/>
    </w:rPr>
  </w:style>
  <w:style w:type="paragraph" w:customStyle="1" w:styleId="CSDPtitle">
    <w:name w:val="CSDP_title"/>
    <w:basedOn w:val="CoverAuthor"/>
    <w:semiHidden/>
    <w:rsid w:val="00DC0A72"/>
    <w:pPr>
      <w:spacing w:before="1080" w:line="252" w:lineRule="auto"/>
      <w:ind w:left="-720"/>
    </w:pPr>
    <w:rPr>
      <w:b/>
      <w:bCs w:val="0"/>
      <w:smallCaps/>
    </w:rPr>
  </w:style>
  <w:style w:type="paragraph" w:customStyle="1" w:styleId="TableTextIndent">
    <w:name w:val="Table Text Indent"/>
    <w:basedOn w:val="TableTextLeft"/>
    <w:qFormat/>
    <w:rsid w:val="00DC0A72"/>
    <w:pPr>
      <w:ind w:left="216"/>
    </w:pPr>
  </w:style>
  <w:style w:type="paragraph" w:customStyle="1" w:styleId="TableTextIndent2">
    <w:name w:val="Table Text Indent 2"/>
    <w:basedOn w:val="TableTextLeft"/>
    <w:qFormat/>
    <w:rsid w:val="00DC0A72"/>
    <w:pPr>
      <w:ind w:left="432"/>
    </w:pPr>
  </w:style>
  <w:style w:type="table" w:customStyle="1" w:styleId="BaseTable">
    <w:name w:val="Base Table"/>
    <w:basedOn w:val="TableNormal"/>
    <w:rsid w:val="00DC0A72"/>
    <w:pPr>
      <w:spacing w:before="40" w:after="20" w:line="240" w:lineRule="auto"/>
    </w:pPr>
    <w:rPr>
      <w:rFonts w:asciiTheme="majorHAnsi" w:hAnsiTheme="majorHAnsi"/>
      <w:sz w:val="18"/>
    </w:rPr>
    <w:tblPr>
      <w:tblBorders>
        <w:bottom w:val="single" w:sz="4" w:space="0" w:color="046B5C" w:themeColor="text2"/>
        <w:insideH w:val="single" w:sz="4" w:space="0" w:color="5B6771" w:themeColor="accent3"/>
        <w:insideV w:val="single" w:sz="4" w:space="0" w:color="5B6771" w:themeColor="accent3"/>
      </w:tblBorders>
      <w:tblCellMar>
        <w:left w:w="58" w:type="dxa"/>
        <w:right w:w="58" w:type="dxa"/>
      </w:tblCellMar>
    </w:tblPr>
    <w:tcPr>
      <w:shd w:val="clear" w:color="auto" w:fill="FFFFFF" w:themeFill="background1"/>
    </w:tcPr>
    <w:tblStylePr w:type="firstRow">
      <w:rPr>
        <w:b/>
        <w:color w:val="FFFFFF" w:themeColor="background1"/>
      </w:rPr>
      <w:tblPr/>
      <w:tcPr>
        <w:tcBorders>
          <w:top w:val="nil"/>
          <w:left w:val="nil"/>
          <w:bottom w:val="single" w:sz="4" w:space="0" w:color="046B5C" w:themeColor="text2"/>
          <w:right w:val="nil"/>
          <w:insideH w:val="nil"/>
          <w:insideV w:val="single" w:sz="4" w:space="0" w:color="FFFFFF" w:themeColor="background1"/>
          <w:tl2br w:val="nil"/>
          <w:tr2bl w:val="nil"/>
        </w:tcBorders>
        <w:shd w:val="clear" w:color="auto" w:fill="046B5C" w:themeFill="text2"/>
        <w:vAlign w:val="bottom"/>
      </w:tcPr>
    </w:tblStylePr>
  </w:style>
  <w:style w:type="character" w:customStyle="1" w:styleId="mathematicaorgChar">
    <w:name w:val="mathematica.org Char"/>
    <w:basedOn w:val="DefaultParagraphFont"/>
    <w:link w:val="mathematicaorg"/>
    <w:semiHidden/>
    <w:rsid w:val="00DC0A72"/>
    <w:rPr>
      <w:rFonts w:asciiTheme="majorHAnsi" w:eastAsia="Times New Roman" w:hAnsiTheme="majorHAnsi" w:cs="Times New Roman"/>
      <w:noProof/>
      <w:spacing w:val="-2"/>
      <w:sz w:val="18"/>
      <w:szCs w:val="19"/>
    </w:rPr>
  </w:style>
  <w:style w:type="paragraph" w:customStyle="1" w:styleId="Title2">
    <w:name w:val="Title 2"/>
    <w:basedOn w:val="Title"/>
    <w:semiHidden/>
    <w:rsid w:val="00DC0A72"/>
    <w:rPr>
      <w:b w:val="0"/>
      <w:color w:val="046B5C" w:themeColor="text2"/>
      <w:sz w:val="44"/>
    </w:rPr>
  </w:style>
  <w:style w:type="table" w:styleId="TableGrid">
    <w:name w:val="Table Grid"/>
    <w:basedOn w:val="TableNormal"/>
    <w:rsid w:val="00DC0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Normal"/>
    <w:qFormat/>
    <w:rsid w:val="00DC0A72"/>
    <w:pPr>
      <w:numPr>
        <w:numId w:val="37"/>
      </w:numPr>
      <w:spacing w:after="100"/>
    </w:pPr>
  </w:style>
  <w:style w:type="character" w:customStyle="1" w:styleId="HyperlinkEnd">
    <w:name w:val="Hyperlink End"/>
    <w:basedOn w:val="DefaultParagraphFont"/>
    <w:qFormat/>
    <w:rsid w:val="00DC0A72"/>
    <w:rPr>
      <w:color w:val="0B2949" w:themeColor="accent1"/>
      <w:u w:val="single"/>
    </w:rPr>
  </w:style>
  <w:style w:type="paragraph" w:customStyle="1" w:styleId="SidebarSubhead">
    <w:name w:val="Sidebar Subhead"/>
    <w:basedOn w:val="Sidebar"/>
    <w:next w:val="Sidebar"/>
    <w:qFormat/>
    <w:rsid w:val="00DC0A72"/>
    <w:pPr>
      <w:spacing w:before="100" w:after="0"/>
    </w:pPr>
    <w:rPr>
      <w:b/>
      <w:bCs/>
    </w:rPr>
  </w:style>
  <w:style w:type="table" w:customStyle="1" w:styleId="TanCell">
    <w:name w:val="Tan Cell"/>
    <w:basedOn w:val="TableNormal"/>
    <w:rsid w:val="00DC0A72"/>
    <w:pPr>
      <w:spacing w:after="0" w:line="240" w:lineRule="auto"/>
    </w:pPr>
    <w:rPr>
      <w:rFonts w:asciiTheme="majorHAnsi" w:hAnsiTheme="majorHAnsi"/>
      <w:sz w:val="18"/>
    </w:rPr>
    <w:tblPr>
      <w:tblCellMar>
        <w:top w:w="72" w:type="dxa"/>
        <w:left w:w="144" w:type="dxa"/>
        <w:bottom w:w="72" w:type="dxa"/>
        <w:right w:w="144" w:type="dxa"/>
      </w:tblCellMar>
    </w:tblPr>
    <w:tcPr>
      <w:shd w:val="clear" w:color="auto" w:fill="F8F6F0" w:themeFill="background2" w:themeFillTint="33"/>
    </w:tcPr>
  </w:style>
  <w:style w:type="table" w:customStyle="1" w:styleId="GrayCell">
    <w:name w:val="Gray Cell"/>
    <w:basedOn w:val="TableNormal"/>
    <w:rsid w:val="00DC0A72"/>
    <w:pPr>
      <w:spacing w:after="0" w:line="240" w:lineRule="auto"/>
    </w:pPr>
    <w:rPr>
      <w:sz w:val="18"/>
    </w:rPr>
    <w:tblPr>
      <w:tblCellMar>
        <w:top w:w="72" w:type="dxa"/>
        <w:left w:w="144" w:type="dxa"/>
        <w:bottom w:w="72" w:type="dxa"/>
        <w:right w:w="144" w:type="dxa"/>
      </w:tblCellMar>
    </w:tblPr>
    <w:tcPr>
      <w:shd w:val="clear" w:color="auto" w:fill="F2F2F2" w:themeFill="background1" w:themeFillShade="F2"/>
    </w:tcPr>
  </w:style>
  <w:style w:type="paragraph" w:customStyle="1" w:styleId="FigureFootnote">
    <w:name w:val="Figure Footnote"/>
    <w:basedOn w:val="ExhibitFootnote"/>
    <w:semiHidden/>
    <w:rsid w:val="006C686D"/>
    <w:pPr>
      <w:spacing w:after="60" w:line="264" w:lineRule="auto"/>
    </w:pPr>
    <w:rPr>
      <w:sz w:val="18"/>
    </w:rPr>
  </w:style>
  <w:style w:type="paragraph" w:customStyle="1" w:styleId="FigureSignificance">
    <w:name w:val="Figure Significance"/>
    <w:basedOn w:val="ExhibitSignificance"/>
    <w:semiHidden/>
    <w:rsid w:val="006C686D"/>
    <w:pPr>
      <w:spacing w:after="60" w:line="264" w:lineRule="auto"/>
      <w:ind w:left="270" w:hanging="270"/>
    </w:pPr>
    <w:rPr>
      <w:sz w:val="18"/>
    </w:rPr>
  </w:style>
  <w:style w:type="paragraph" w:customStyle="1" w:styleId="FigureSource">
    <w:name w:val="Figure Source"/>
    <w:basedOn w:val="ExhibitSource"/>
    <w:semiHidden/>
    <w:rsid w:val="006C686D"/>
    <w:pPr>
      <w:tabs>
        <w:tab w:val="clear" w:pos="648"/>
      </w:tabs>
      <w:spacing w:after="60" w:line="264" w:lineRule="auto"/>
      <w:ind w:left="792" w:hanging="792"/>
    </w:pPr>
    <w:rPr>
      <w:sz w:val="18"/>
    </w:rPr>
  </w:style>
  <w:style w:type="paragraph" w:customStyle="1" w:styleId="TableFootnote">
    <w:name w:val="Table Footnote"/>
    <w:basedOn w:val="ExhibitFootnote"/>
    <w:qFormat/>
    <w:rsid w:val="006C686D"/>
    <w:pPr>
      <w:spacing w:after="60" w:line="264" w:lineRule="auto"/>
    </w:pPr>
    <w:rPr>
      <w:sz w:val="18"/>
    </w:rPr>
  </w:style>
  <w:style w:type="paragraph" w:customStyle="1" w:styleId="TableSignificance">
    <w:name w:val="Table Significance"/>
    <w:basedOn w:val="FigureSignificance"/>
    <w:qFormat/>
    <w:rsid w:val="006C686D"/>
  </w:style>
  <w:style w:type="paragraph" w:customStyle="1" w:styleId="TableSource">
    <w:name w:val="Table Source"/>
    <w:basedOn w:val="FigureSource"/>
    <w:qFormat/>
    <w:rsid w:val="006C686D"/>
  </w:style>
  <w:style w:type="table" w:customStyle="1" w:styleId="MathUBaseTable">
    <w:name w:val="MathU Base Table"/>
    <w:basedOn w:val="TableNormal"/>
    <w:rsid w:val="006C686D"/>
    <w:pPr>
      <w:spacing w:before="40" w:after="20" w:line="240" w:lineRule="auto"/>
    </w:pPr>
    <w:rPr>
      <w:rFonts w:asciiTheme="majorHAnsi" w:hAnsiTheme="majorHAnsi"/>
      <w:sz w:val="18"/>
    </w:rPr>
    <w:tblPr>
      <w:tblBorders>
        <w:bottom w:val="single" w:sz="4" w:space="0" w:color="046B5C" w:themeColor="text2"/>
        <w:insideH w:val="single" w:sz="4" w:space="0" w:color="046B5C" w:themeColor="text2"/>
      </w:tblBorders>
      <w:tblCellMar>
        <w:left w:w="58" w:type="dxa"/>
        <w:right w:w="58" w:type="dxa"/>
      </w:tblCellMar>
    </w:tblPr>
    <w:trPr>
      <w:cantSplit/>
    </w:trPr>
    <w:tcPr>
      <w:shd w:val="clear" w:color="auto" w:fill="FFFFFF" w:themeFill="background1"/>
      <w:tcMar>
        <w:top w:w="0" w:type="dxa"/>
        <w:bottom w:w="0" w:type="dxa"/>
      </w:tcMar>
    </w:tcPr>
    <w:tblStylePr w:type="firstRow">
      <w:pPr>
        <w:jc w:val="left"/>
      </w:pPr>
      <w:rPr>
        <w:b/>
        <w:color w:val="FFFFFF" w:themeColor="background1"/>
      </w:rPr>
      <w:tblPr/>
      <w:tcPr>
        <w:tcBorders>
          <w:top w:val="nil"/>
          <w:left w:val="nil"/>
          <w:bottom w:val="nil"/>
          <w:right w:val="nil"/>
          <w:insideH w:val="nil"/>
          <w:insideV w:val="nil"/>
          <w:tl2br w:val="nil"/>
          <w:tr2bl w:val="nil"/>
        </w:tcBorders>
        <w:shd w:val="clear" w:color="auto" w:fill="046B5C" w:themeFill="text2"/>
        <w:vAlign w:val="bottom"/>
      </w:tcPr>
    </w:tblStylePr>
    <w:tblStylePr w:type="lastRow">
      <w:rPr>
        <w:color w:val="FFFFFF" w:themeColor="background1"/>
      </w:rPr>
      <w:tblPr/>
      <w:tcPr>
        <w:tcBorders>
          <w:bottom w:val="single" w:sz="4" w:space="0" w:color="046B5C" w:themeColor="text2"/>
        </w:tcBorders>
        <w:shd w:val="clear" w:color="auto" w:fill="FFFFFF" w:themeFill="background1"/>
      </w:tcPr>
    </w:tblStylePr>
    <w:tblStylePr w:type="firstCol">
      <w:tblPr/>
      <w:tcPr>
        <w:tcBorders>
          <w:right w:val="single" w:sz="4" w:space="0" w:color="046B5C" w:themeColor="text2"/>
        </w:tcBorders>
        <w:shd w:val="clear" w:color="auto" w:fill="FFFFFF" w:themeFill="background1"/>
      </w:tcPr>
    </w:tblStylePr>
    <w:tblStylePr w:type="lastCol">
      <w:tblPr/>
      <w:tcPr>
        <w:tcBorders>
          <w:top w:val="nil"/>
          <w:left w:val="nil"/>
          <w:bottom w:val="nil"/>
          <w:right w:val="nil"/>
          <w:insideH w:val="single" w:sz="4" w:space="0" w:color="189394" w:themeColor="accent5"/>
          <w:insideV w:val="nil"/>
          <w:tl2br w:val="nil"/>
          <w:tr2bl w:val="nil"/>
        </w:tcBorders>
        <w:shd w:val="clear" w:color="auto" w:fill="FFFFFF" w:themeFill="background1"/>
      </w:tcPr>
    </w:tblStylePr>
    <w:tblStylePr w:type="neCell">
      <w:pPr>
        <w:jc w:val="left"/>
      </w:pPr>
      <w:tblPr/>
      <w:tcPr>
        <w:tcBorders>
          <w:right w:val="single" w:sz="4" w:space="0" w:color="FFFFFF" w:themeColor="background1"/>
        </w:tcBorders>
        <w:shd w:val="clear" w:color="auto" w:fill="046B5C" w:themeFill="text2"/>
      </w:tcPr>
    </w:tblStylePr>
  </w:style>
  <w:style w:type="character" w:customStyle="1" w:styleId="SmartLink1">
    <w:name w:val="SmartLink1"/>
    <w:basedOn w:val="DefaultParagraphFont"/>
    <w:semiHidden/>
    <w:unhideWhenUsed/>
    <w:rsid w:val="006C686D"/>
    <w:rPr>
      <w:color w:val="0563C1" w:themeColor="hyperlink"/>
      <w:u w:val="single"/>
      <w:shd w:val="clear" w:color="auto" w:fill="E1DFDD"/>
    </w:rPr>
  </w:style>
  <w:style w:type="table" w:customStyle="1" w:styleId="MathUSidebar">
    <w:name w:val="MathU Sidebar"/>
    <w:basedOn w:val="TableNormal"/>
    <w:rsid w:val="006C686D"/>
    <w:pPr>
      <w:spacing w:after="0" w:line="240" w:lineRule="auto"/>
    </w:pPr>
    <w:tblPr>
      <w:tblBorders>
        <w:top w:val="dotted" w:sz="12" w:space="0" w:color="046B5C" w:themeColor="text2"/>
        <w:bottom w:val="dotted" w:sz="12" w:space="0" w:color="046B5C" w:themeColor="text2"/>
      </w:tblBorders>
      <w:tblCellMar>
        <w:top w:w="58" w:type="dxa"/>
        <w:left w:w="115" w:type="dxa"/>
        <w:right w:w="115" w:type="dxa"/>
      </w:tblCellMar>
    </w:tblPr>
  </w:style>
  <w:style w:type="table" w:customStyle="1" w:styleId="MPRBaseTable">
    <w:name w:val="MPR Base Table"/>
    <w:basedOn w:val="TableNormal"/>
    <w:rsid w:val="006C686D"/>
    <w:pPr>
      <w:spacing w:before="40" w:after="20" w:line="240" w:lineRule="auto"/>
      <w:textboxTightWrap w:val="allLines"/>
    </w:pPr>
    <w:rPr>
      <w:rFonts w:ascii="Arial" w:eastAsiaTheme="minorEastAsia" w:hAnsi="Arial"/>
      <w:sz w:val="18"/>
      <w:szCs w:val="24"/>
    </w:rPr>
    <w:tblPr>
      <w:tblStyleRowBandSize w:val="1"/>
      <w:tblBorders>
        <w:bottom w:val="single" w:sz="4" w:space="0" w:color="auto"/>
      </w:tblBorders>
      <w:tblCellMar>
        <w:left w:w="115" w:type="dxa"/>
        <w:right w:w="115" w:type="dxa"/>
      </w:tblCellMar>
    </w:tblPr>
    <w:tcPr>
      <w:tcMar>
        <w:top w:w="58" w:type="dxa"/>
        <w:left w:w="43" w:type="dxa"/>
        <w:bottom w:w="58" w:type="dxa"/>
        <w:right w:w="43" w:type="dxa"/>
      </w:tcMar>
    </w:tcPr>
    <w:tblStylePr w:type="firstRow">
      <w:pPr>
        <w:wordWrap/>
        <w:spacing w:beforeLines="0" w:before="120" w:beforeAutospacing="0" w:afterLines="0" w:after="60" w:afterAutospacing="0" w:line="240" w:lineRule="auto"/>
        <w:ind w:leftChars="0" w:left="0" w:rightChars="0" w:right="0" w:firstLineChars="0" w:firstLine="0"/>
        <w:contextualSpacing w:val="0"/>
        <w:jc w:val="left"/>
        <w:outlineLvl w:val="9"/>
      </w:pPr>
      <w:rPr>
        <w:rFonts w:ascii="Arial" w:hAnsi="Arial"/>
        <w:b w:val="0"/>
        <w:i w:val="0"/>
        <w:caps w:val="0"/>
        <w:smallCaps w:val="0"/>
        <w:strike w:val="0"/>
        <w:dstrike w:val="0"/>
        <w:vanish w:val="0"/>
        <w:color w:val="FFFFFF" w:themeColor="background1"/>
        <w:spacing w:val="0"/>
        <w:kern w:val="0"/>
        <w:position w:val="6"/>
        <w:sz w:val="18"/>
        <w:u w:val="none"/>
        <w:vertAlign w:val="baseline"/>
        <w14:shadow w14:blurRad="0" w14:dist="0" w14:dir="0" w14:sx="0" w14:sy="0" w14:kx="0" w14:ky="0" w14:algn="none">
          <w14:srgbClr w14:val="000000"/>
        </w14:shadow>
        <w14:textOutline w14:w="0" w14:cap="rnd" w14:cmpd="sng" w14:algn="ctr">
          <w14:noFill/>
          <w14:prstDash w14:val="solid"/>
          <w14:bevel/>
        </w14:textOutline>
      </w:rPr>
      <w:tblPr/>
      <w:trPr>
        <w:cantSplit/>
        <w:tblHeader/>
      </w:trPr>
      <w:tcPr>
        <w:tcBorders>
          <w:top w:val="nil"/>
          <w:left w:val="nil"/>
          <w:bottom w:val="nil"/>
          <w:right w:val="nil"/>
          <w:insideH w:val="nil"/>
          <w:insideV w:val="nil"/>
        </w:tcBorders>
        <w:shd w:val="clear" w:color="auto" w:fill="046B5C" w:themeFill="text2"/>
      </w:tcPr>
    </w:tblStylePr>
    <w:tblStylePr w:type="lastRow">
      <w:pPr>
        <w:jc w:val="left"/>
      </w:pPr>
      <w:rPr>
        <w:b w:val="0"/>
        <w:color w:val="FFFFFF" w:themeColor="background1"/>
      </w:rPr>
      <w:tblPr/>
      <w:tcPr>
        <w:shd w:val="clear" w:color="auto" w:fill="046B5C" w:themeFill="text2"/>
        <w:vAlign w:val="center"/>
      </w:tcPr>
    </w:tblStylePr>
    <w:tblStylePr w:type="firstCol">
      <w:pPr>
        <w:wordWrap/>
        <w:spacing w:beforeLines="0" w:beforeAutospacing="0" w:afterLines="0" w:afterAutospacing="0"/>
        <w:contextualSpacing/>
        <w:jc w:val="left"/>
      </w:pPr>
      <w:rPr>
        <w:color w:val="000000" w:themeColor="text1"/>
      </w:rPr>
      <w:tblPr/>
      <w:tcPr>
        <w:shd w:val="clear" w:color="auto" w:fill="E0D4B5" w:themeFill="background2"/>
      </w:tcPr>
    </w:tblStylePr>
    <w:tblStylePr w:type="lastCol">
      <w:pPr>
        <w:jc w:val="left"/>
      </w:pPr>
    </w:tblStylePr>
    <w:tblStylePr w:type="band1Horz">
      <w:pPr>
        <w:wordWrap/>
        <w:spacing w:beforeLines="0" w:beforeAutospacing="0" w:afterLines="0" w:afterAutospacing="0" w:line="240" w:lineRule="auto"/>
        <w:contextualSpacing/>
      </w:pPr>
    </w:tblStylePr>
    <w:tblStylePr w:type="band2Horz">
      <w:pPr>
        <w:wordWrap/>
        <w:spacing w:beforeLines="0" w:beforeAutospacing="0" w:afterLines="0" w:afterAutospacing="0" w:line="240" w:lineRule="auto"/>
      </w:pPr>
      <w:tblPr/>
      <w:tcPr>
        <w:shd w:val="clear" w:color="auto" w:fill="E0D4B5" w:themeFill="background2"/>
      </w:tcPr>
    </w:tblStylePr>
    <w:tblStylePr w:type="neCell">
      <w:tblPr/>
      <w:trPr>
        <w:cantSplit/>
      </w:trPr>
    </w:tblStylePr>
    <w:tblStylePr w:type="nwCell">
      <w:pPr>
        <w:wordWrap/>
        <w:spacing w:beforeLines="0" w:before="120" w:beforeAutospacing="0" w:afterLines="0" w:after="60" w:afterAutospacing="0" w:line="240" w:lineRule="auto"/>
        <w:ind w:leftChars="0" w:left="0" w:rightChars="0" w:right="0" w:firstLineChars="0" w:firstLine="0"/>
        <w:jc w:val="left"/>
        <w:outlineLvl w:val="9"/>
      </w:pPr>
      <w:rPr>
        <w:rFonts w:ascii="Arial" w:hAnsi="Arial"/>
        <w:b w:val="0"/>
        <w:i w:val="0"/>
        <w:caps w:val="0"/>
        <w:smallCaps w:val="0"/>
        <w:strike w:val="0"/>
        <w:dstrike w:val="0"/>
        <w:vanish w:val="0"/>
        <w:color w:val="FFFFFF" w:themeColor="background1"/>
        <w:sz w:val="18"/>
        <w:u w:val="none"/>
        <w:vertAlign w:val="baseline"/>
        <w14:shadow w14:blurRad="0" w14:dist="0" w14:dir="0" w14:sx="0" w14:sy="0" w14:kx="0" w14:ky="0" w14:algn="none">
          <w14:srgbClr w14:val="000000"/>
        </w14:shadow>
        <w14:textOutline w14:w="0" w14:cap="rnd" w14:cmpd="sng" w14:algn="ctr">
          <w14:noFill/>
          <w14:prstDash w14:val="solid"/>
          <w14:bevel/>
        </w14:textOutline>
      </w:rPr>
      <w:tblPr/>
      <w:tcPr>
        <w:shd w:val="clear" w:color="auto" w:fill="046B5C" w:themeFill="text2"/>
      </w:tcPr>
    </w:tblStylePr>
    <w:tblStylePr w:type="seCell">
      <w:pPr>
        <w:jc w:val="left"/>
      </w:pPr>
      <w:tblPr/>
      <w:tcPr>
        <w:vAlign w:val="center"/>
      </w:tcPr>
    </w:tblStylePr>
  </w:style>
  <w:style w:type="character" w:customStyle="1" w:styleId="H2Char">
    <w:name w:val="H2 Char"/>
    <w:basedOn w:val="Heading2Char"/>
    <w:link w:val="H2"/>
    <w:rsid w:val="006C686D"/>
    <w:rPr>
      <w:rFonts w:asciiTheme="majorHAnsi" w:eastAsiaTheme="majorEastAsia" w:hAnsiTheme="majorHAnsi" w:cstheme="majorBidi"/>
      <w:b/>
      <w:color w:val="0B2949" w:themeColor="accent1"/>
      <w:sz w:val="24"/>
      <w:szCs w:val="32"/>
    </w:rPr>
  </w:style>
  <w:style w:type="character" w:customStyle="1" w:styleId="H3Char">
    <w:name w:val="H3 Char"/>
    <w:basedOn w:val="Heading3Char"/>
    <w:link w:val="H3"/>
    <w:rsid w:val="006C686D"/>
    <w:rPr>
      <w:rFonts w:asciiTheme="majorHAnsi" w:eastAsiaTheme="majorEastAsia" w:hAnsiTheme="majorHAnsi" w:cstheme="majorBidi"/>
      <w:b/>
      <w:color w:val="000000" w:themeColor="text1"/>
      <w:sz w:val="20"/>
      <w:szCs w:val="32"/>
    </w:rPr>
  </w:style>
  <w:style w:type="character" w:customStyle="1" w:styleId="SmartLink2">
    <w:name w:val="SmartLink2"/>
    <w:basedOn w:val="DefaultParagraphFont"/>
    <w:semiHidden/>
    <w:unhideWhenUsed/>
    <w:rsid w:val="006C686D"/>
    <w:rPr>
      <w:color w:val="0000FF"/>
      <w:u w:val="single"/>
      <w:shd w:val="clear" w:color="auto" w:fill="F3F2F1"/>
    </w:rPr>
  </w:style>
  <w:style w:type="paragraph" w:customStyle="1" w:styleId="wwwmathematica-mprcom">
    <w:name w:val="www.mathematica-mpr.com"/>
    <w:semiHidden/>
    <w:rsid w:val="006C686D"/>
    <w:pPr>
      <w:spacing w:after="100" w:line="240" w:lineRule="auto"/>
      <w:jc w:val="right"/>
    </w:pPr>
    <w:rPr>
      <w:rFonts w:asciiTheme="majorHAnsi" w:eastAsia="Times New Roman" w:hAnsiTheme="majorHAnsi" w:cs="Times New Roman"/>
      <w:noProof/>
      <w:sz w:val="20"/>
      <w:szCs w:val="19"/>
    </w:rPr>
  </w:style>
  <w:style w:type="character" w:customStyle="1" w:styleId="link-with-underline">
    <w:name w:val="link-with-underline"/>
    <w:basedOn w:val="DefaultParagraphFont"/>
    <w:semiHidden/>
    <w:rsid w:val="006C686D"/>
  </w:style>
  <w:style w:type="paragraph" w:customStyle="1" w:styleId="paragraph0">
    <w:name w:val="paragraph"/>
    <w:basedOn w:val="Normal"/>
    <w:semiHidden/>
    <w:rsid w:val="006C68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semiHidden/>
    <w:rsid w:val="006C686D"/>
  </w:style>
  <w:style w:type="character" w:customStyle="1" w:styleId="eop">
    <w:name w:val="eop"/>
    <w:basedOn w:val="DefaultParagraphFont"/>
    <w:semiHidden/>
    <w:rsid w:val="006C686D"/>
  </w:style>
  <w:style w:type="character" w:customStyle="1" w:styleId="superscript0">
    <w:name w:val="superscript"/>
    <w:basedOn w:val="DefaultParagraphFont"/>
    <w:semiHidden/>
    <w:rsid w:val="006C686D"/>
  </w:style>
  <w:style w:type="character" w:customStyle="1" w:styleId="SmartLink3">
    <w:name w:val="SmartLink3"/>
    <w:basedOn w:val="DefaultParagraphFont"/>
    <w:semiHidden/>
    <w:unhideWhenUsed/>
    <w:rsid w:val="006C686D"/>
    <w:rPr>
      <w:color w:val="0000FF"/>
      <w:u w:val="single"/>
      <w:shd w:val="clear" w:color="auto" w:fill="F3F2F1"/>
    </w:rPr>
  </w:style>
  <w:style w:type="paragraph" w:customStyle="1" w:styleId="References">
    <w:name w:val="References"/>
    <w:basedOn w:val="Reference"/>
    <w:qFormat/>
    <w:rsid w:val="006C686D"/>
    <w:pPr>
      <w:spacing w:before="160" w:line="264" w:lineRule="auto"/>
      <w:ind w:left="360" w:hanging="360"/>
    </w:pPr>
    <w:rPr>
      <w:sz w:val="22"/>
    </w:rPr>
  </w:style>
  <w:style w:type="numbering" w:customStyle="1" w:styleId="NoList1">
    <w:name w:val="No List1"/>
    <w:next w:val="NoList"/>
    <w:semiHidden/>
    <w:unhideWhenUsed/>
    <w:rsid w:val="00EA5BE0"/>
  </w:style>
  <w:style w:type="paragraph" w:customStyle="1" w:styleId="FooterDocTitle">
    <w:name w:val="Footer Doc Title"/>
    <w:semiHidden/>
    <w:rsid w:val="00EA5BE0"/>
    <w:pPr>
      <w:pBdr>
        <w:top w:val="single" w:sz="8" w:space="10" w:color="009DD7"/>
      </w:pBdr>
      <w:tabs>
        <w:tab w:val="left" w:pos="1080"/>
      </w:tabs>
      <w:spacing w:before="360" w:after="0" w:line="276" w:lineRule="auto"/>
    </w:pPr>
    <w:rPr>
      <w:rFonts w:ascii="Calibri" w:hAnsi="Calibri" w:cs="Calibri"/>
      <w:color w:val="00507F"/>
      <w:szCs w:val="20"/>
    </w:rPr>
  </w:style>
  <w:style w:type="paragraph" w:customStyle="1" w:styleId="BodyTextPostHead">
    <w:name w:val="Body Text Post Head"/>
    <w:aliases w:val="btp"/>
    <w:basedOn w:val="BodyText"/>
    <w:next w:val="BodyText"/>
    <w:semiHidden/>
    <w:rsid w:val="00EA5BE0"/>
    <w:pPr>
      <w:suppressAutoHyphens/>
      <w:spacing w:before="60" w:line="276" w:lineRule="auto"/>
    </w:pPr>
    <w:rPr>
      <w:rFonts w:ascii="Calibri" w:eastAsia="Calibri" w:hAnsi="Calibri" w:cs="Times New Roman"/>
      <w:sz w:val="24"/>
      <w:szCs w:val="20"/>
    </w:rPr>
  </w:style>
  <w:style w:type="numbering" w:customStyle="1" w:styleId="ListBullets-Body">
    <w:name w:val="_List Bullets-Body"/>
    <w:rsid w:val="00EA5BE0"/>
    <w:pPr>
      <w:numPr>
        <w:numId w:val="21"/>
      </w:numPr>
    </w:pPr>
  </w:style>
  <w:style w:type="numbering" w:customStyle="1" w:styleId="ListBullets-Table11">
    <w:name w:val="_List Bullets-Table 11"/>
    <w:rsid w:val="00EA5BE0"/>
    <w:pPr>
      <w:numPr>
        <w:numId w:val="23"/>
      </w:numPr>
    </w:pPr>
  </w:style>
  <w:style w:type="numbering" w:customStyle="1" w:styleId="ListOrdered-Body">
    <w:name w:val="_List Ordered-Body"/>
    <w:rsid w:val="00EA5BE0"/>
    <w:pPr>
      <w:numPr>
        <w:numId w:val="24"/>
      </w:numPr>
    </w:pPr>
  </w:style>
  <w:style w:type="numbering" w:customStyle="1" w:styleId="ListOrdered-Table11">
    <w:name w:val="_List Ordered-Table 11"/>
    <w:rsid w:val="00EA5BE0"/>
    <w:pPr>
      <w:numPr>
        <w:numId w:val="25"/>
      </w:numPr>
    </w:pPr>
  </w:style>
  <w:style w:type="paragraph" w:customStyle="1" w:styleId="Bullet1">
    <w:name w:val="Bullet 1"/>
    <w:basedOn w:val="BodyText"/>
    <w:semiHidden/>
    <w:rsid w:val="00EA5BE0"/>
    <w:pPr>
      <w:suppressAutoHyphens/>
      <w:spacing w:before="120" w:line="276" w:lineRule="auto"/>
      <w:ind w:left="360" w:hanging="360"/>
    </w:pPr>
    <w:rPr>
      <w:rFonts w:ascii="Calibri" w:eastAsia="Times New Roman" w:hAnsi="Calibri" w:cs="Times New Roman"/>
      <w:sz w:val="24"/>
      <w:szCs w:val="20"/>
    </w:rPr>
  </w:style>
  <w:style w:type="paragraph" w:customStyle="1" w:styleId="Bullet2">
    <w:name w:val="Bullet 2"/>
    <w:basedOn w:val="BodyText"/>
    <w:semiHidden/>
    <w:rsid w:val="00EA5BE0"/>
    <w:pPr>
      <w:suppressAutoHyphens/>
      <w:spacing w:before="120" w:line="276" w:lineRule="auto"/>
      <w:ind w:left="720" w:hanging="360"/>
    </w:pPr>
    <w:rPr>
      <w:rFonts w:ascii="Calibri" w:eastAsia="Times New Roman" w:hAnsi="Calibri" w:cs="Times New Roman"/>
      <w:sz w:val="24"/>
      <w:szCs w:val="20"/>
    </w:rPr>
  </w:style>
  <w:style w:type="paragraph" w:customStyle="1" w:styleId="Bullet3">
    <w:name w:val="Bullet 3"/>
    <w:basedOn w:val="BodyText"/>
    <w:semiHidden/>
    <w:rsid w:val="00EA5BE0"/>
    <w:pPr>
      <w:suppressAutoHyphens/>
      <w:spacing w:before="120" w:line="276" w:lineRule="auto"/>
      <w:ind w:left="1080" w:hanging="360"/>
    </w:pPr>
    <w:rPr>
      <w:rFonts w:ascii="Calibri" w:eastAsia="MS Mincho" w:hAnsi="Calibri" w:cs="Times New Roman"/>
      <w:sz w:val="24"/>
      <w:szCs w:val="20"/>
    </w:rPr>
  </w:style>
  <w:style w:type="paragraph" w:customStyle="1" w:styleId="NumberedList">
    <w:name w:val="Numbered List"/>
    <w:basedOn w:val="BodyText"/>
    <w:semiHidden/>
    <w:rsid w:val="00EA5BE0"/>
    <w:pPr>
      <w:numPr>
        <w:numId w:val="27"/>
      </w:numPr>
      <w:suppressAutoHyphens/>
      <w:spacing w:before="120" w:after="0" w:line="276" w:lineRule="auto"/>
    </w:pPr>
    <w:rPr>
      <w:rFonts w:ascii="Calibri" w:eastAsia="Times New Roman" w:hAnsi="Calibri" w:cs="Times New Roman"/>
      <w:sz w:val="24"/>
      <w:szCs w:val="20"/>
    </w:rPr>
  </w:style>
  <w:style w:type="paragraph" w:customStyle="1" w:styleId="Table11Bullet1">
    <w:name w:val="Table 11 Bullet 1"/>
    <w:basedOn w:val="Table11Basic"/>
    <w:qFormat/>
    <w:rsid w:val="00EA5BE0"/>
    <w:pPr>
      <w:ind w:left="288" w:hanging="288"/>
    </w:pPr>
  </w:style>
  <w:style w:type="paragraph" w:customStyle="1" w:styleId="Table11Bullet2">
    <w:name w:val="Table 11 Bullet 2"/>
    <w:basedOn w:val="Table11Basic"/>
    <w:qFormat/>
    <w:rsid w:val="00EA5BE0"/>
    <w:pPr>
      <w:ind w:left="576" w:hanging="288"/>
    </w:pPr>
  </w:style>
  <w:style w:type="paragraph" w:customStyle="1" w:styleId="Table11Bullet3">
    <w:name w:val="Table 11 Bullet 3"/>
    <w:basedOn w:val="Table11Basic"/>
    <w:qFormat/>
    <w:rsid w:val="00EA5BE0"/>
    <w:pPr>
      <w:ind w:left="864" w:hanging="288"/>
    </w:pPr>
    <w:rPr>
      <w:rFonts w:eastAsia="Times New Roman"/>
    </w:rPr>
  </w:style>
  <w:style w:type="paragraph" w:customStyle="1" w:styleId="Table11Numbering">
    <w:name w:val="Table 11 Numbering"/>
    <w:basedOn w:val="Table11Basic"/>
    <w:qFormat/>
    <w:rsid w:val="00EA5BE0"/>
    <w:pPr>
      <w:numPr>
        <w:numId w:val="28"/>
      </w:numPr>
      <w:ind w:left="720" w:hanging="360"/>
    </w:pPr>
  </w:style>
  <w:style w:type="paragraph" w:customStyle="1" w:styleId="Callout-InlineText">
    <w:name w:val="Callout-Inline Text"/>
    <w:basedOn w:val="BodyText"/>
    <w:semiHidden/>
    <w:rsid w:val="00EA5BE0"/>
    <w:pPr>
      <w:keepLines/>
      <w:pBdr>
        <w:top w:val="single" w:sz="12" w:space="4" w:color="C8D0D4"/>
        <w:bottom w:val="single" w:sz="12" w:space="4" w:color="C8D0D4"/>
      </w:pBdr>
      <w:suppressAutoHyphens/>
      <w:spacing w:before="120" w:after="240" w:line="276" w:lineRule="auto"/>
      <w:ind w:left="360" w:right="360"/>
    </w:pPr>
    <w:rPr>
      <w:rFonts w:ascii="Arial Narrow" w:eastAsia="Times New Roman" w:hAnsi="Arial Narrow" w:cs="Calibri"/>
      <w:iCs/>
      <w:color w:val="006E9F"/>
      <w:sz w:val="24"/>
      <w:szCs w:val="20"/>
    </w:rPr>
  </w:style>
  <w:style w:type="table" w:customStyle="1" w:styleId="TableGrid10">
    <w:name w:val="Table Grid1"/>
    <w:basedOn w:val="TableNormal"/>
    <w:next w:val="TableGrid"/>
    <w:rsid w:val="00EA5BE0"/>
    <w:pPr>
      <w:spacing w:after="0" w:line="240" w:lineRule="auto"/>
    </w:pPr>
    <w:rPr>
      <w:rFonts w:ascii="Calibri" w:hAnsi="Calibri" w:cs="Calibri"/>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Sidebar">
    <w:name w:val="_Table Style-Sidebar"/>
    <w:basedOn w:val="TableNormal"/>
    <w:rsid w:val="00EA5BE0"/>
    <w:pPr>
      <w:spacing w:before="120" w:after="120" w:line="276" w:lineRule="auto"/>
    </w:pPr>
    <w:rPr>
      <w:rFonts w:ascii="Arial Narrow" w:hAnsi="Arial Narrow" w:cs="Calibri"/>
      <w:sz w:val="24"/>
      <w:szCs w:val="20"/>
    </w:rPr>
    <w:tblPr>
      <w:tblCellMar>
        <w:left w:w="0" w:type="dxa"/>
        <w:right w:w="0" w:type="dxa"/>
      </w:tblCellMar>
    </w:tblPr>
    <w:tcPr>
      <w:shd w:val="clear" w:color="auto" w:fill="D1EEFC"/>
    </w:tcPr>
  </w:style>
  <w:style w:type="paragraph" w:customStyle="1" w:styleId="SidebarText">
    <w:name w:val="Sidebar Text"/>
    <w:basedOn w:val="BodyText"/>
    <w:qFormat/>
    <w:rsid w:val="00EA5BE0"/>
    <w:pPr>
      <w:suppressAutoHyphens/>
      <w:spacing w:before="120" w:line="240" w:lineRule="auto"/>
    </w:pPr>
    <w:rPr>
      <w:rFonts w:ascii="Arial Narrow" w:eastAsia="Calibri" w:hAnsi="Arial Narrow" w:cs="Times New Roman"/>
      <w:szCs w:val="20"/>
    </w:rPr>
  </w:style>
  <w:style w:type="paragraph" w:customStyle="1" w:styleId="Table11Basic">
    <w:name w:val="Table 11 Basic"/>
    <w:basedOn w:val="HeadingFont"/>
    <w:qFormat/>
    <w:rsid w:val="00EA5BE0"/>
    <w:pPr>
      <w:keepNext w:val="0"/>
      <w:spacing w:before="60" w:after="60"/>
    </w:pPr>
    <w:rPr>
      <w:sz w:val="22"/>
      <w:szCs w:val="22"/>
    </w:rPr>
  </w:style>
  <w:style w:type="paragraph" w:customStyle="1" w:styleId="Table11Centered">
    <w:name w:val="Table 11 Centered"/>
    <w:basedOn w:val="Table11Basic"/>
    <w:qFormat/>
    <w:rsid w:val="00EA5BE0"/>
    <w:pPr>
      <w:jc w:val="center"/>
    </w:pPr>
  </w:style>
  <w:style w:type="numbering" w:customStyle="1" w:styleId="ListBullets-Table10">
    <w:name w:val="_List Bullets-Table 10"/>
    <w:rsid w:val="00EA5BE0"/>
    <w:pPr>
      <w:numPr>
        <w:numId w:val="22"/>
      </w:numPr>
    </w:pPr>
  </w:style>
  <w:style w:type="character" w:customStyle="1" w:styleId="markobflqbmmz">
    <w:name w:val="markobflqbmmz"/>
    <w:basedOn w:val="DefaultParagraphFont"/>
    <w:semiHidden/>
    <w:rsid w:val="00EA5BE0"/>
  </w:style>
  <w:style w:type="paragraph" w:customStyle="1" w:styleId="TableNote">
    <w:name w:val="Table Note"/>
    <w:aliases w:val="Figure Note,Exhibit Note"/>
    <w:basedOn w:val="HeadingFont"/>
    <w:qFormat/>
    <w:rsid w:val="00EA5BE0"/>
    <w:pPr>
      <w:keepNext w:val="0"/>
      <w:spacing w:before="120" w:after="360"/>
      <w:contextualSpacing/>
    </w:pPr>
    <w:rPr>
      <w:rFonts w:eastAsia="Times New Roman" w:cs="Times New Roman"/>
      <w:sz w:val="20"/>
    </w:rPr>
  </w:style>
  <w:style w:type="paragraph" w:customStyle="1" w:styleId="FigurePlacement">
    <w:name w:val="Figure Placement"/>
    <w:basedOn w:val="HeadingFont"/>
    <w:semiHidden/>
    <w:rsid w:val="00EA5BE0"/>
    <w:pPr>
      <w:spacing w:before="120" w:after="120"/>
      <w:jc w:val="center"/>
    </w:pPr>
    <w:rPr>
      <w:rFonts w:eastAsia="Times New Roman"/>
    </w:rPr>
  </w:style>
  <w:style w:type="paragraph" w:customStyle="1" w:styleId="HeadingFont">
    <w:name w:val="Heading Font"/>
    <w:semiHidden/>
    <w:rsid w:val="00EA5BE0"/>
    <w:pPr>
      <w:keepNext/>
      <w:suppressAutoHyphens/>
      <w:spacing w:after="0" w:line="276" w:lineRule="auto"/>
    </w:pPr>
    <w:rPr>
      <w:rFonts w:ascii="Calibri" w:hAnsi="Calibri" w:cs="Calibri"/>
      <w:sz w:val="24"/>
      <w:szCs w:val="20"/>
    </w:rPr>
  </w:style>
  <w:style w:type="paragraph" w:customStyle="1" w:styleId="ShapeText">
    <w:name w:val="Shape Text"/>
    <w:basedOn w:val="BodyText"/>
    <w:semiHidden/>
    <w:rsid w:val="00EA5BE0"/>
    <w:pPr>
      <w:suppressAutoHyphens/>
      <w:spacing w:before="120" w:line="276" w:lineRule="auto"/>
      <w:jc w:val="center"/>
    </w:pPr>
    <w:rPr>
      <w:rFonts w:ascii="Calibri" w:eastAsia="Calibri" w:hAnsi="Calibri" w:cs="Times New Roman"/>
      <w:sz w:val="24"/>
      <w:szCs w:val="20"/>
    </w:rPr>
  </w:style>
  <w:style w:type="paragraph" w:customStyle="1" w:styleId="Spacer-HeaderFooter">
    <w:name w:val="Spacer-HeaderFooter"/>
    <w:link w:val="Spacer-HeaderFooterChar"/>
    <w:semiHidden/>
    <w:rsid w:val="00EA5BE0"/>
    <w:pPr>
      <w:spacing w:after="0" w:line="20" w:lineRule="exact"/>
    </w:pPr>
    <w:rPr>
      <w:rFonts w:ascii="Calibri" w:hAnsi="Calibri" w:cs="Calibri"/>
      <w:sz w:val="2"/>
      <w:szCs w:val="2"/>
    </w:rPr>
  </w:style>
  <w:style w:type="table" w:customStyle="1" w:styleId="TableStyle-Handout">
    <w:name w:val="_Table Style-Handout"/>
    <w:basedOn w:val="TableNormal"/>
    <w:rsid w:val="00EA5BE0"/>
    <w:pPr>
      <w:spacing w:before="120" w:after="120" w:line="276" w:lineRule="auto"/>
    </w:pPr>
    <w:rPr>
      <w:rFonts w:ascii="Calibri" w:hAnsi="Calibri" w:cs="Calibri"/>
      <w:sz w:val="24"/>
      <w:szCs w:val="20"/>
    </w:rPr>
    <w:tblPr>
      <w:tblBorders>
        <w:bottom w:val="single" w:sz="6" w:space="0" w:color="A6A6A6"/>
        <w:insideH w:val="single" w:sz="6" w:space="0" w:color="A6A6A6"/>
      </w:tblBorders>
    </w:tblPr>
    <w:trPr>
      <w:cantSplit/>
    </w:trPr>
    <w:tblStylePr w:type="firstRow">
      <w:pPr>
        <w:jc w:val="center"/>
      </w:pPr>
      <w:rPr>
        <w:b w:val="0"/>
        <w:color w:val="auto"/>
      </w:rPr>
      <w:tblPr/>
      <w:trPr>
        <w:cantSplit w:val="0"/>
      </w:trPr>
      <w:tcPr>
        <w:vAlign w:val="bottom"/>
      </w:tcPr>
    </w:tblStylePr>
    <w:tblStylePr w:type="firstCol">
      <w:rPr>
        <w:b w:val="0"/>
        <w:color w:val="auto"/>
      </w:rPr>
    </w:tblStylePr>
  </w:style>
  <w:style w:type="character" w:customStyle="1" w:styleId="ReferenceChar">
    <w:name w:val="Reference Char"/>
    <w:basedOn w:val="DefaultParagraphFont"/>
    <w:link w:val="Reference"/>
    <w:rsid w:val="00EA5BE0"/>
    <w:rPr>
      <w:sz w:val="18"/>
    </w:rPr>
  </w:style>
  <w:style w:type="paragraph" w:customStyle="1" w:styleId="Heading3NoTOC">
    <w:name w:val="Heading 3 No TOC"/>
    <w:basedOn w:val="Heading3"/>
    <w:next w:val="BodyTextPostHead"/>
    <w:link w:val="Heading3NoTOCChar"/>
    <w:semiHidden/>
    <w:rsid w:val="00EA5BE0"/>
    <w:pPr>
      <w:numPr>
        <w:numId w:val="0"/>
      </w:numPr>
      <w:suppressAutoHyphens/>
      <w:spacing w:before="240" w:line="240" w:lineRule="auto"/>
      <w:outlineLvl w:val="9"/>
    </w:pPr>
    <w:rPr>
      <w:rFonts w:eastAsia="Times New Roman" w:cs="Times New Roman"/>
      <w:b/>
      <w:color w:val="00507F"/>
    </w:rPr>
  </w:style>
  <w:style w:type="paragraph" w:customStyle="1" w:styleId="Heading4NoTOC">
    <w:name w:val="Heading 4 No TOC"/>
    <w:basedOn w:val="Heading4"/>
    <w:next w:val="BodyTextPostHead"/>
    <w:link w:val="Heading4NoTOCChar"/>
    <w:semiHidden/>
    <w:rsid w:val="00EA5BE0"/>
    <w:pPr>
      <w:numPr>
        <w:numId w:val="0"/>
      </w:numPr>
      <w:suppressAutoHyphens/>
      <w:spacing w:before="240" w:after="60" w:line="240" w:lineRule="auto"/>
      <w:outlineLvl w:val="9"/>
    </w:pPr>
    <w:rPr>
      <w:rFonts w:eastAsia="Times New Roman" w:cs="Times New Roman"/>
      <w:b/>
      <w:color w:val="00507F"/>
      <w:sz w:val="26"/>
      <w:szCs w:val="24"/>
    </w:rPr>
  </w:style>
  <w:style w:type="paragraph" w:customStyle="1" w:styleId="Heading5NoTOC">
    <w:name w:val="Heading 5 No TOC"/>
    <w:basedOn w:val="Heading5"/>
    <w:link w:val="Heading5NoTOCChar"/>
    <w:semiHidden/>
    <w:rsid w:val="00EA5BE0"/>
    <w:pPr>
      <w:keepLines w:val="0"/>
      <w:numPr>
        <w:ilvl w:val="0"/>
        <w:numId w:val="0"/>
      </w:numPr>
      <w:suppressAutoHyphens/>
      <w:spacing w:before="240" w:after="120" w:line="240" w:lineRule="auto"/>
      <w:outlineLvl w:val="9"/>
    </w:pPr>
    <w:rPr>
      <w:rFonts w:eastAsia="Calibri" w:cs="Calibri"/>
      <w:b/>
      <w:bCs/>
      <w:sz w:val="24"/>
      <w:szCs w:val="20"/>
    </w:rPr>
  </w:style>
  <w:style w:type="paragraph" w:customStyle="1" w:styleId="Heading6NoTOC">
    <w:name w:val="Heading 6 No TOC"/>
    <w:basedOn w:val="Heading6"/>
    <w:link w:val="Heading6NoTOCChar"/>
    <w:semiHidden/>
    <w:rsid w:val="00EA5BE0"/>
    <w:pPr>
      <w:keepLines w:val="0"/>
      <w:numPr>
        <w:ilvl w:val="0"/>
        <w:numId w:val="0"/>
      </w:numPr>
      <w:suppressAutoHyphens/>
      <w:spacing w:before="240" w:after="120" w:line="240" w:lineRule="auto"/>
      <w:outlineLvl w:val="9"/>
    </w:pPr>
    <w:rPr>
      <w:rFonts w:eastAsia="Calibri" w:cs="Calibri"/>
      <w:b/>
      <w:bCs/>
      <w:i/>
      <w:iCs/>
      <w:sz w:val="24"/>
      <w:szCs w:val="20"/>
    </w:rPr>
  </w:style>
  <w:style w:type="character" w:customStyle="1" w:styleId="Heading5NoTOCChar">
    <w:name w:val="Heading 5 No TOC Char"/>
    <w:basedOn w:val="Heading5Char"/>
    <w:link w:val="Heading5NoTOC"/>
    <w:rsid w:val="00EA5BE0"/>
    <w:rPr>
      <w:rFonts w:asciiTheme="majorHAnsi" w:eastAsia="Calibri" w:hAnsiTheme="majorHAnsi" w:cs="Calibri"/>
      <w:b/>
      <w:bCs/>
      <w:color w:val="081E36" w:themeColor="accent1" w:themeShade="BF"/>
      <w:sz w:val="24"/>
      <w:szCs w:val="20"/>
    </w:rPr>
  </w:style>
  <w:style w:type="character" w:customStyle="1" w:styleId="Heading4NoTOCChar">
    <w:name w:val="Heading 4 No TOC Char"/>
    <w:basedOn w:val="DefaultParagraphFont"/>
    <w:link w:val="Heading4NoTOC"/>
    <w:rsid w:val="00EA5BE0"/>
    <w:rPr>
      <w:rFonts w:asciiTheme="majorHAnsi" w:eastAsia="Times New Roman" w:hAnsiTheme="majorHAnsi" w:cs="Times New Roman"/>
      <w:b/>
      <w:i/>
      <w:iCs/>
      <w:color w:val="00507F"/>
      <w:sz w:val="26"/>
      <w:szCs w:val="24"/>
    </w:rPr>
  </w:style>
  <w:style w:type="character" w:customStyle="1" w:styleId="Heading3NoTOCChar">
    <w:name w:val="Heading 3 No TOC Char"/>
    <w:basedOn w:val="Heading3Char"/>
    <w:link w:val="Heading3NoTOC"/>
    <w:rsid w:val="00EA5BE0"/>
    <w:rPr>
      <w:rFonts w:asciiTheme="majorHAnsi" w:eastAsia="Times New Roman" w:hAnsiTheme="majorHAnsi" w:cs="Times New Roman"/>
      <w:b/>
      <w:color w:val="00507F"/>
      <w:sz w:val="24"/>
      <w:szCs w:val="24"/>
    </w:rPr>
  </w:style>
  <w:style w:type="paragraph" w:customStyle="1" w:styleId="AgendaTime">
    <w:name w:val="Agenda Time"/>
    <w:basedOn w:val="AgendaDescription"/>
    <w:semiHidden/>
    <w:rsid w:val="00EA5BE0"/>
    <w:pPr>
      <w:spacing w:before="240"/>
    </w:pPr>
    <w:rPr>
      <w:rFonts w:eastAsia="Calibri"/>
      <w:b/>
      <w:color w:val="000000"/>
    </w:rPr>
  </w:style>
  <w:style w:type="paragraph" w:customStyle="1" w:styleId="AgendaItem">
    <w:name w:val="Agenda Item"/>
    <w:basedOn w:val="AgendaDescription"/>
    <w:next w:val="AgendaDescription"/>
    <w:semiHidden/>
    <w:rsid w:val="00EA5BE0"/>
    <w:pPr>
      <w:spacing w:before="240"/>
    </w:pPr>
    <w:rPr>
      <w:rFonts w:eastAsia="Calibri"/>
      <w:b/>
    </w:rPr>
  </w:style>
  <w:style w:type="paragraph" w:customStyle="1" w:styleId="AgendaDescription">
    <w:name w:val="Agenda Description"/>
    <w:basedOn w:val="BodyText"/>
    <w:semiHidden/>
    <w:rsid w:val="00EA5BE0"/>
    <w:pPr>
      <w:suppressAutoHyphens/>
      <w:spacing w:before="120" w:line="276" w:lineRule="auto"/>
    </w:pPr>
    <w:rPr>
      <w:rFonts w:ascii="Calibri" w:eastAsia="Times New Roman" w:hAnsi="Calibri" w:cs="Times New Roman"/>
      <w:sz w:val="24"/>
      <w:szCs w:val="20"/>
    </w:rPr>
  </w:style>
  <w:style w:type="paragraph" w:customStyle="1" w:styleId="AgendaLocation">
    <w:name w:val="Agenda Location"/>
    <w:basedOn w:val="AgendaDescription"/>
    <w:semiHidden/>
    <w:rsid w:val="00EA5BE0"/>
    <w:pPr>
      <w:spacing w:before="240"/>
    </w:pPr>
    <w:rPr>
      <w:rFonts w:eastAsia="Calibri"/>
      <w:b/>
      <w:i/>
      <w:color w:val="000000"/>
    </w:rPr>
  </w:style>
  <w:style w:type="paragraph" w:customStyle="1" w:styleId="AppendixTitle-ReportBorderAfter">
    <w:name w:val="Appendix Title-Report Border After"/>
    <w:basedOn w:val="Heading1-ReportBorderAfterPortrait"/>
    <w:next w:val="BodyTextPostHead"/>
    <w:qFormat/>
    <w:rsid w:val="00EA5BE0"/>
    <w:pPr>
      <w:ind w:right="6480"/>
    </w:pPr>
  </w:style>
  <w:style w:type="paragraph" w:customStyle="1" w:styleId="AgendaColumnHeading">
    <w:name w:val="Agenda Column Heading"/>
    <w:basedOn w:val="AgendaDescription"/>
    <w:semiHidden/>
    <w:rsid w:val="00EA5BE0"/>
    <w:pPr>
      <w:spacing w:before="60" w:after="60"/>
    </w:pPr>
    <w:rPr>
      <w:b/>
    </w:rPr>
  </w:style>
  <w:style w:type="character" w:customStyle="1" w:styleId="Heading6NoTOCChar">
    <w:name w:val="Heading 6 No TOC Char"/>
    <w:basedOn w:val="Heading6Char"/>
    <w:link w:val="Heading6NoTOC"/>
    <w:rsid w:val="00EA5BE0"/>
    <w:rPr>
      <w:rFonts w:asciiTheme="majorHAnsi" w:eastAsia="Calibri" w:hAnsiTheme="majorHAnsi" w:cs="Calibri"/>
      <w:b/>
      <w:bCs/>
      <w:i/>
      <w:iCs/>
      <w:color w:val="051424" w:themeColor="accent1" w:themeShade="7F"/>
      <w:sz w:val="24"/>
      <w:szCs w:val="20"/>
    </w:rPr>
  </w:style>
  <w:style w:type="character" w:customStyle="1" w:styleId="CaptionChar">
    <w:name w:val="Caption Char"/>
    <w:basedOn w:val="BodyTextChar"/>
    <w:link w:val="Caption"/>
    <w:semiHidden/>
    <w:rsid w:val="00EA5BE0"/>
    <w:rPr>
      <w:rFonts w:asciiTheme="majorHAnsi" w:hAnsiTheme="majorHAnsi"/>
      <w:b/>
      <w:bCs/>
      <w:color w:val="000000" w:themeColor="text1"/>
      <w:sz w:val="20"/>
      <w:szCs w:val="20"/>
    </w:rPr>
  </w:style>
  <w:style w:type="paragraph" w:customStyle="1" w:styleId="Heading2NoTOC">
    <w:name w:val="Heading 2 No TOC"/>
    <w:next w:val="Heading2BorderAfter"/>
    <w:link w:val="Heading2NoTOCChar"/>
    <w:semiHidden/>
    <w:rsid w:val="00EA5BE0"/>
    <w:pPr>
      <w:keepNext/>
      <w:keepLines/>
      <w:spacing w:before="240" w:after="120" w:line="240" w:lineRule="auto"/>
    </w:pPr>
    <w:rPr>
      <w:rFonts w:ascii="Calibri" w:eastAsia="Times New Roman" w:hAnsi="Calibri" w:cs="Times New Roman"/>
      <w:b/>
      <w:bCs/>
      <w:color w:val="00507F"/>
      <w:sz w:val="36"/>
      <w:szCs w:val="36"/>
    </w:rPr>
  </w:style>
  <w:style w:type="character" w:customStyle="1" w:styleId="Heading2NoTOCChar">
    <w:name w:val="Heading 2 No TOC Char"/>
    <w:basedOn w:val="DefaultParagraphFont"/>
    <w:link w:val="Heading2NoTOC"/>
    <w:uiPriority w:val="9"/>
    <w:rsid w:val="00EA5BE0"/>
    <w:rPr>
      <w:rFonts w:ascii="Calibri" w:eastAsia="Times New Roman" w:hAnsi="Calibri" w:cs="Times New Roman"/>
      <w:b/>
      <w:bCs/>
      <w:color w:val="00507F"/>
      <w:sz w:val="36"/>
      <w:szCs w:val="36"/>
    </w:rPr>
  </w:style>
  <w:style w:type="paragraph" w:customStyle="1" w:styleId="Table11ColumnHeading">
    <w:name w:val="Table 11 Column Heading"/>
    <w:basedOn w:val="Table11Basic"/>
    <w:qFormat/>
    <w:rsid w:val="00EA5BE0"/>
    <w:pPr>
      <w:jc w:val="center"/>
    </w:pPr>
    <w:rPr>
      <w:b/>
      <w:color w:val="FFFFFF"/>
    </w:rPr>
  </w:style>
  <w:style w:type="paragraph" w:customStyle="1" w:styleId="Table11RowHeading">
    <w:name w:val="Table 11 Row Heading"/>
    <w:basedOn w:val="Table11Basic"/>
    <w:qFormat/>
    <w:rsid w:val="00EA5BE0"/>
    <w:rPr>
      <w:b/>
    </w:rPr>
  </w:style>
  <w:style w:type="character" w:customStyle="1" w:styleId="CtrlPlusspacecharacter">
    <w:name w:val="Ctrl Plus space character"/>
    <w:basedOn w:val="DefaultParagraphFont"/>
    <w:semiHidden/>
    <w:rsid w:val="00EA5BE0"/>
    <w:rPr>
      <w:sz w:val="4"/>
    </w:rPr>
  </w:style>
  <w:style w:type="table" w:customStyle="1" w:styleId="TableStyle-DocumentLayout">
    <w:name w:val="_Table Style-Document Layout"/>
    <w:basedOn w:val="TableNormal"/>
    <w:rsid w:val="00EA5BE0"/>
    <w:pPr>
      <w:spacing w:after="0" w:line="240" w:lineRule="auto"/>
    </w:pPr>
    <w:rPr>
      <w:rFonts w:ascii="Calibri" w:hAnsi="Calibri" w:cs="Calibri"/>
      <w:sz w:val="24"/>
      <w:szCs w:val="20"/>
    </w:rPr>
    <w:tblPr>
      <w:tblCellMar>
        <w:top w:w="43" w:type="dxa"/>
        <w:left w:w="0" w:type="dxa"/>
        <w:bottom w:w="43" w:type="dxa"/>
        <w:right w:w="115" w:type="dxa"/>
      </w:tblCellMar>
    </w:tblPr>
  </w:style>
  <w:style w:type="paragraph" w:customStyle="1" w:styleId="Heading2BorderAfter">
    <w:name w:val="Heading 2 Border After"/>
    <w:next w:val="BodyTextPostHead"/>
    <w:semiHidden/>
    <w:rsid w:val="00EA5BE0"/>
    <w:pPr>
      <w:keepNext/>
      <w:pBdr>
        <w:top w:val="single" w:sz="36" w:space="0" w:color="009DD7"/>
      </w:pBdr>
      <w:spacing w:before="180" w:after="0" w:line="276" w:lineRule="auto"/>
      <w:ind w:right="8280"/>
    </w:pPr>
    <w:rPr>
      <w:rFonts w:ascii="Calibri" w:eastAsia="Calibri" w:hAnsi="Calibri" w:cs="Times New Roman"/>
      <w:sz w:val="12"/>
      <w:szCs w:val="12"/>
    </w:rPr>
  </w:style>
  <w:style w:type="paragraph" w:customStyle="1" w:styleId="SidebarHeadingWhite">
    <w:name w:val="Sidebar Heading White"/>
    <w:basedOn w:val="SidebarText"/>
    <w:qFormat/>
    <w:rsid w:val="00EA5BE0"/>
    <w:pPr>
      <w:jc w:val="center"/>
    </w:pPr>
    <w:rPr>
      <w:b/>
      <w:bCs/>
      <w:color w:val="FFFFFF"/>
      <w:sz w:val="24"/>
      <w:szCs w:val="28"/>
    </w:rPr>
  </w:style>
  <w:style w:type="character" w:customStyle="1" w:styleId="TOCPageHeading">
    <w:name w:val="TOC Page Heading"/>
    <w:basedOn w:val="DefaultParagraphFont"/>
    <w:semiHidden/>
    <w:rsid w:val="00EA5BE0"/>
    <w:rPr>
      <w:sz w:val="24"/>
    </w:rPr>
  </w:style>
  <w:style w:type="paragraph" w:customStyle="1" w:styleId="DocumentAuthor">
    <w:name w:val="Document Author"/>
    <w:basedOn w:val="BodyText"/>
    <w:next w:val="DocumentOrganization"/>
    <w:semiHidden/>
    <w:rsid w:val="00EA5BE0"/>
    <w:pPr>
      <w:suppressAutoHyphens/>
      <w:spacing w:before="360" w:after="60" w:line="276" w:lineRule="auto"/>
    </w:pPr>
    <w:rPr>
      <w:rFonts w:ascii="Calibri" w:eastAsia="Calibri" w:hAnsi="Calibri" w:cs="Arial"/>
      <w:sz w:val="28"/>
      <w:szCs w:val="28"/>
    </w:rPr>
  </w:style>
  <w:style w:type="paragraph" w:customStyle="1" w:styleId="DocumentOrganization">
    <w:name w:val="Document Organization"/>
    <w:basedOn w:val="BodyText"/>
    <w:next w:val="DocumentAuthor"/>
    <w:semiHidden/>
    <w:rsid w:val="00EA5BE0"/>
    <w:pPr>
      <w:suppressAutoHyphens/>
      <w:spacing w:line="276" w:lineRule="auto"/>
    </w:pPr>
    <w:rPr>
      <w:rFonts w:ascii="Calibri" w:eastAsia="Calibri" w:hAnsi="Calibri" w:cs="Times New Roman"/>
      <w:i/>
      <w:sz w:val="28"/>
      <w:szCs w:val="28"/>
    </w:rPr>
  </w:style>
  <w:style w:type="table" w:customStyle="1" w:styleId="TableStyle-InformationBox">
    <w:name w:val="_Table Style-Information Box"/>
    <w:basedOn w:val="TableNormal"/>
    <w:rsid w:val="00EA5BE0"/>
    <w:pPr>
      <w:spacing w:after="0" w:line="240" w:lineRule="auto"/>
    </w:pPr>
    <w:rPr>
      <w:rFonts w:ascii="Calibri" w:hAnsi="Calibri" w:cs="Calibri"/>
      <w:sz w:val="24"/>
      <w:szCs w:val="20"/>
    </w:rPr>
    <w:tblPr>
      <w:tblBorders>
        <w:top w:val="single" w:sz="48" w:space="0" w:color="00507F"/>
      </w:tblBorders>
      <w:tblCellMar>
        <w:left w:w="360" w:type="dxa"/>
        <w:bottom w:w="360" w:type="dxa"/>
        <w:right w:w="360" w:type="dxa"/>
      </w:tblCellMar>
    </w:tblPr>
    <w:tcPr>
      <w:shd w:val="clear" w:color="auto" w:fill="E3E8EE"/>
    </w:tcPr>
  </w:style>
  <w:style w:type="table" w:customStyle="1" w:styleId="TableStyle-AIR2021">
    <w:name w:val="__Table Style-AIR 2021"/>
    <w:basedOn w:val="TableNormal"/>
    <w:rsid w:val="00EA5BE0"/>
    <w:pPr>
      <w:spacing w:after="0" w:line="240" w:lineRule="auto"/>
    </w:pPr>
    <w:rPr>
      <w:rFonts w:ascii="Calibri" w:hAnsi="Calibri" w:cs="Calibri"/>
      <w:sz w:val="24"/>
      <w:szCs w:val="20"/>
    </w:rPr>
    <w:tblPr>
      <w:tblStyleRowBandSize w:val="1"/>
      <w:tblBorders>
        <w:bottom w:val="single" w:sz="6" w:space="0" w:color="00507F"/>
        <w:insideH w:val="single" w:sz="8" w:space="0" w:color="D9D9D9"/>
        <w:insideV w:val="single" w:sz="8" w:space="0" w:color="D9D9D9"/>
      </w:tblBorders>
    </w:tblPr>
    <w:tblStylePr w:type="firstRow">
      <w:pPr>
        <w:jc w:val="center"/>
      </w:pPr>
      <w:rPr>
        <w:b w:val="0"/>
        <w:color w:val="FFFFFF"/>
      </w:rPr>
      <w:tblPr/>
      <w:tcPr>
        <w:tcBorders>
          <w:top w:val="single" w:sz="6" w:space="0" w:color="FFFFFF"/>
          <w:left w:val="nil"/>
          <w:bottom w:val="single" w:sz="36" w:space="0" w:color="009DD7"/>
          <w:right w:val="nil"/>
          <w:insideH w:val="single" w:sz="6" w:space="0" w:color="FFFFFF"/>
          <w:insideV w:val="single" w:sz="6" w:space="0" w:color="FFFFFF"/>
          <w:tl2br w:val="nil"/>
          <w:tr2bl w:val="nil"/>
        </w:tcBorders>
        <w:shd w:val="clear" w:color="auto" w:fill="00507F"/>
        <w:vAlign w:val="bottom"/>
      </w:tcPr>
    </w:tblStylePr>
    <w:tblStylePr w:type="band2Horz">
      <w:tblPr/>
      <w:tcPr>
        <w:shd w:val="clear" w:color="auto" w:fill="F3FBFF"/>
      </w:tcPr>
    </w:tblStylePr>
  </w:style>
  <w:style w:type="paragraph" w:customStyle="1" w:styleId="LastPageCopyright">
    <w:name w:val="Last Page Copyright"/>
    <w:basedOn w:val="BodyText"/>
    <w:semiHidden/>
    <w:rsid w:val="00EA5BE0"/>
    <w:pPr>
      <w:suppressAutoHyphens/>
      <w:spacing w:before="240" w:after="80" w:line="276" w:lineRule="auto"/>
      <w:ind w:right="706"/>
    </w:pPr>
    <w:rPr>
      <w:rFonts w:ascii="Calibri" w:eastAsia="Calibri" w:hAnsi="Calibri" w:cs="Times New Roman"/>
      <w:color w:val="FFFFFF"/>
      <w:kern w:val="24"/>
      <w:sz w:val="14"/>
      <w:szCs w:val="14"/>
    </w:rPr>
  </w:style>
  <w:style w:type="paragraph" w:customStyle="1" w:styleId="LastPageAboutAIRAddress">
    <w:name w:val="Last Page About AIR Address"/>
    <w:basedOn w:val="NoSpacing"/>
    <w:semiHidden/>
    <w:rsid w:val="00EA5BE0"/>
    <w:pPr>
      <w:suppressAutoHyphens/>
      <w:spacing w:line="240" w:lineRule="auto"/>
    </w:pPr>
    <w:rPr>
      <w:rFonts w:ascii="Calibri" w:eastAsia="Calibri" w:hAnsi="Calibri" w:cs="Times New Roman"/>
      <w:color w:val="FFFFFF"/>
      <w:sz w:val="18"/>
      <w:szCs w:val="18"/>
    </w:rPr>
  </w:style>
  <w:style w:type="paragraph" w:customStyle="1" w:styleId="LastPageTrademark">
    <w:name w:val="Last Page Trademark"/>
    <w:basedOn w:val="LastPageCopyright"/>
    <w:semiHidden/>
    <w:rsid w:val="00EA5BE0"/>
    <w:pPr>
      <w:suppressAutoHyphens w:val="0"/>
      <w:spacing w:before="0"/>
    </w:pPr>
  </w:style>
  <w:style w:type="paragraph" w:customStyle="1" w:styleId="LastPageAboutAIRLogo">
    <w:name w:val="Last Page About AIR Logo"/>
    <w:basedOn w:val="LastPageAboutAIRAddress"/>
    <w:semiHidden/>
    <w:rsid w:val="00EA5BE0"/>
    <w:pPr>
      <w:ind w:left="720"/>
    </w:pPr>
    <w:rPr>
      <w:rFonts w:cs="ProximaNova-Regular"/>
    </w:rPr>
  </w:style>
  <w:style w:type="paragraph" w:customStyle="1" w:styleId="LastPageFooter">
    <w:name w:val="Last Page Footer"/>
    <w:basedOn w:val="BodyText"/>
    <w:semiHidden/>
    <w:rsid w:val="00EA5BE0"/>
    <w:pPr>
      <w:suppressAutoHyphens/>
      <w:spacing w:before="240" w:line="276" w:lineRule="auto"/>
      <w:ind w:left="-1080" w:right="-1080"/>
      <w:jc w:val="right"/>
    </w:pPr>
    <w:rPr>
      <w:rFonts w:ascii="Calibri" w:eastAsia="Calibri" w:hAnsi="Calibri" w:cs="Times New Roman"/>
      <w:color w:val="00507F"/>
      <w:sz w:val="24"/>
      <w:szCs w:val="20"/>
    </w:rPr>
  </w:style>
  <w:style w:type="paragraph" w:customStyle="1" w:styleId="Heading1-HandoutSpaceAfterH1Table">
    <w:name w:val="Heading 1-Handout Space After H1 Table"/>
    <w:basedOn w:val="Spacer-HeaderFooter"/>
    <w:next w:val="BodyTextPostHead"/>
    <w:semiHidden/>
    <w:rsid w:val="00EA5BE0"/>
  </w:style>
  <w:style w:type="paragraph" w:customStyle="1" w:styleId="Heading1-ReportCover">
    <w:name w:val="Heading 1-Report Cover"/>
    <w:semiHidden/>
    <w:rsid w:val="00EA5BE0"/>
    <w:pPr>
      <w:spacing w:before="360" w:after="120" w:line="276" w:lineRule="auto"/>
      <w:outlineLvl w:val="0"/>
    </w:pPr>
    <w:rPr>
      <w:rFonts w:ascii="Calibri" w:eastAsia="Perpetua" w:hAnsi="Calibri" w:cs="Calibri"/>
      <w:b/>
      <w:bCs/>
      <w:noProof/>
      <w:sz w:val="56"/>
      <w:szCs w:val="56"/>
    </w:rPr>
  </w:style>
  <w:style w:type="paragraph" w:customStyle="1" w:styleId="Heading1-Handout">
    <w:name w:val="Heading 1-Handout"/>
    <w:semiHidden/>
    <w:rsid w:val="00EA5BE0"/>
    <w:pPr>
      <w:spacing w:after="0" w:line="276" w:lineRule="auto"/>
    </w:pPr>
    <w:rPr>
      <w:rFonts w:ascii="Calibri" w:eastAsia="Perpetua" w:hAnsi="Calibri" w:cs="Calibri"/>
      <w:b/>
      <w:bCs/>
      <w:color w:val="FFFFFF"/>
      <w:sz w:val="56"/>
      <w:szCs w:val="56"/>
    </w:rPr>
  </w:style>
  <w:style w:type="paragraph" w:customStyle="1" w:styleId="Table10Basic">
    <w:name w:val="Table 10 Basic"/>
    <w:basedOn w:val="Table11Basic"/>
    <w:qFormat/>
    <w:rsid w:val="00EA5BE0"/>
    <w:rPr>
      <w:sz w:val="20"/>
    </w:rPr>
  </w:style>
  <w:style w:type="paragraph" w:customStyle="1" w:styleId="Table10Centered">
    <w:name w:val="Table 10 Centered"/>
    <w:basedOn w:val="Table10Basic"/>
    <w:qFormat/>
    <w:rsid w:val="00EA5BE0"/>
    <w:pPr>
      <w:jc w:val="center"/>
    </w:pPr>
  </w:style>
  <w:style w:type="paragraph" w:customStyle="1" w:styleId="Table10Bullet1">
    <w:name w:val="Table 10 Bullet 1"/>
    <w:basedOn w:val="Table10Basic"/>
    <w:qFormat/>
    <w:rsid w:val="00EA5BE0"/>
    <w:pPr>
      <w:numPr>
        <w:numId w:val="22"/>
      </w:numPr>
      <w:ind w:left="360" w:hanging="360"/>
    </w:pPr>
  </w:style>
  <w:style w:type="paragraph" w:customStyle="1" w:styleId="Table10Bullet2">
    <w:name w:val="Table 10 Bullet 2"/>
    <w:basedOn w:val="Table10Basic"/>
    <w:qFormat/>
    <w:rsid w:val="00EA5BE0"/>
    <w:pPr>
      <w:numPr>
        <w:ilvl w:val="1"/>
        <w:numId w:val="22"/>
      </w:numPr>
      <w:ind w:left="792" w:hanging="432"/>
    </w:pPr>
  </w:style>
  <w:style w:type="paragraph" w:customStyle="1" w:styleId="Table10Bullet3">
    <w:name w:val="Table 10 Bullet 3"/>
    <w:basedOn w:val="Table10Basic"/>
    <w:qFormat/>
    <w:rsid w:val="00EA5BE0"/>
    <w:pPr>
      <w:numPr>
        <w:ilvl w:val="2"/>
        <w:numId w:val="22"/>
      </w:numPr>
      <w:ind w:left="1224" w:hanging="504"/>
    </w:pPr>
  </w:style>
  <w:style w:type="paragraph" w:customStyle="1" w:styleId="Table10Numbering">
    <w:name w:val="Table 10 Numbering"/>
    <w:basedOn w:val="Table10Basic"/>
    <w:qFormat/>
    <w:rsid w:val="00EA5BE0"/>
    <w:pPr>
      <w:ind w:left="288" w:hanging="288"/>
    </w:pPr>
  </w:style>
  <w:style w:type="paragraph" w:customStyle="1" w:styleId="Table10ColumnHeading">
    <w:name w:val="Table 10 Column Heading"/>
    <w:basedOn w:val="Table10Basic"/>
    <w:qFormat/>
    <w:rsid w:val="00EA5BE0"/>
    <w:pPr>
      <w:jc w:val="center"/>
    </w:pPr>
    <w:rPr>
      <w:b/>
      <w:color w:val="FFFFFF"/>
    </w:rPr>
  </w:style>
  <w:style w:type="paragraph" w:customStyle="1" w:styleId="Table10RowHeading">
    <w:name w:val="Table 10 Row Heading"/>
    <w:basedOn w:val="Table10Basic"/>
    <w:qFormat/>
    <w:rsid w:val="00EA5BE0"/>
    <w:rPr>
      <w:b/>
    </w:rPr>
  </w:style>
  <w:style w:type="table" w:customStyle="1" w:styleId="TableStyle-HeadingWithIcon">
    <w:name w:val="_Table Style-Heading With Icon"/>
    <w:basedOn w:val="TableNormal"/>
    <w:rsid w:val="00EA5BE0"/>
    <w:pPr>
      <w:spacing w:after="0" w:line="240" w:lineRule="auto"/>
    </w:pPr>
    <w:rPr>
      <w:rFonts w:ascii="Calibri" w:hAnsi="Calibri" w:cs="Calibri"/>
      <w:color w:val="FFFFFF"/>
      <w:sz w:val="24"/>
      <w:szCs w:val="20"/>
    </w:rPr>
    <w:tblPr/>
    <w:tcPr>
      <w:shd w:val="clear" w:color="auto" w:fill="00507F"/>
    </w:tcPr>
  </w:style>
  <w:style w:type="paragraph" w:customStyle="1" w:styleId="ReportCoverFrontBottomleft">
    <w:name w:val="Report Cover Front Bottom left"/>
    <w:basedOn w:val="BodyText"/>
    <w:semiHidden/>
    <w:rsid w:val="00EA5BE0"/>
    <w:pPr>
      <w:suppressAutoHyphens/>
      <w:spacing w:after="0" w:line="276" w:lineRule="auto"/>
      <w:ind w:left="20"/>
    </w:pPr>
    <w:rPr>
      <w:rFonts w:ascii="Calibri" w:eastAsia="Calibri" w:hAnsi="Calibri" w:cs="Calibri"/>
      <w:b/>
      <w:color w:val="FFFFFF"/>
      <w:szCs w:val="20"/>
    </w:rPr>
  </w:style>
  <w:style w:type="paragraph" w:customStyle="1" w:styleId="Heading1-ReportBorderAfterPortrait">
    <w:name w:val="Heading 1-Report Border After Portrait"/>
    <w:basedOn w:val="Normal"/>
    <w:next w:val="Normal"/>
    <w:semiHidden/>
    <w:rsid w:val="00EA5BE0"/>
    <w:pPr>
      <w:pBdr>
        <w:top w:val="single" w:sz="36" w:space="1" w:color="009DD7"/>
      </w:pBdr>
      <w:spacing w:after="0" w:line="240" w:lineRule="auto"/>
      <w:ind w:right="7920"/>
    </w:pPr>
    <w:rPr>
      <w:rFonts w:ascii="Calibri" w:eastAsia="Calibri" w:hAnsi="Calibri" w:cs="Calibri"/>
      <w:bCs/>
      <w:sz w:val="24"/>
      <w:szCs w:val="20"/>
    </w:rPr>
  </w:style>
  <w:style w:type="paragraph" w:customStyle="1" w:styleId="BoxHeading">
    <w:name w:val="Box Heading"/>
    <w:basedOn w:val="Table11RowHeading"/>
    <w:next w:val="Normal"/>
    <w:semiHidden/>
    <w:rsid w:val="00EA5BE0"/>
    <w:pPr>
      <w:spacing w:line="240" w:lineRule="auto"/>
    </w:pPr>
  </w:style>
  <w:style w:type="paragraph" w:customStyle="1" w:styleId="SpaceafterSidebarinTableHeading">
    <w:name w:val="Space after Sidebar in Table Heading"/>
    <w:semiHidden/>
    <w:rsid w:val="00EA5BE0"/>
    <w:pPr>
      <w:suppressAutoHyphens/>
      <w:spacing w:after="0" w:line="240" w:lineRule="auto"/>
    </w:pPr>
    <w:rPr>
      <w:rFonts w:ascii="Calibri" w:hAnsi="Calibri" w:cs="Calibri"/>
    </w:rPr>
  </w:style>
  <w:style w:type="paragraph" w:customStyle="1" w:styleId="Heading2WithIcon">
    <w:name w:val="Heading 2 With Icon"/>
    <w:basedOn w:val="Heading2"/>
    <w:semiHidden/>
    <w:rsid w:val="00EA5BE0"/>
    <w:pPr>
      <w:numPr>
        <w:numId w:val="0"/>
      </w:numPr>
      <w:suppressAutoHyphens/>
      <w:spacing w:before="120" w:after="120" w:line="240" w:lineRule="auto"/>
    </w:pPr>
    <w:rPr>
      <w:b/>
      <w:bCs/>
      <w:color w:val="FFFFFF"/>
      <w:sz w:val="36"/>
      <w:szCs w:val="20"/>
    </w:rPr>
  </w:style>
  <w:style w:type="numbering" w:customStyle="1" w:styleId="ListStyle-BoxBullets">
    <w:name w:val="_List Style-Box Bullets"/>
    <w:rsid w:val="00EA5BE0"/>
    <w:pPr>
      <w:numPr>
        <w:numId w:val="26"/>
      </w:numPr>
    </w:pPr>
  </w:style>
  <w:style w:type="character" w:customStyle="1" w:styleId="markaix8csvbv">
    <w:name w:val="markaix8csvbv"/>
    <w:basedOn w:val="DefaultParagraphFont"/>
    <w:semiHidden/>
    <w:rsid w:val="00EA5BE0"/>
  </w:style>
  <w:style w:type="paragraph" w:customStyle="1" w:styleId="BoxBullets">
    <w:name w:val="Box Bullets"/>
    <w:basedOn w:val="BoxText"/>
    <w:semiHidden/>
    <w:rsid w:val="00EA5BE0"/>
    <w:pPr>
      <w:numPr>
        <w:numId w:val="29"/>
      </w:numPr>
      <w:tabs>
        <w:tab w:val="num" w:pos="1800"/>
      </w:tabs>
      <w:ind w:left="1800"/>
    </w:pPr>
  </w:style>
  <w:style w:type="paragraph" w:customStyle="1" w:styleId="BoxText">
    <w:name w:val="Box Text"/>
    <w:basedOn w:val="BodyText"/>
    <w:semiHidden/>
    <w:rsid w:val="00EA5BE0"/>
    <w:pPr>
      <w:suppressAutoHyphens/>
      <w:spacing w:before="60" w:after="60" w:line="240" w:lineRule="auto"/>
    </w:pPr>
    <w:rPr>
      <w:rFonts w:ascii="Calibri" w:eastAsia="Calibri" w:hAnsi="Calibri" w:cs="Times New Roman"/>
      <w:sz w:val="22"/>
    </w:rPr>
  </w:style>
  <w:style w:type="paragraph" w:customStyle="1" w:styleId="Cover-BottomleftAIR">
    <w:name w:val="Cover-Bottom left AIR"/>
    <w:basedOn w:val="DocumentOrganization"/>
    <w:semiHidden/>
    <w:rsid w:val="00EA5BE0"/>
    <w:pPr>
      <w:spacing w:after="0"/>
    </w:pPr>
    <w:rPr>
      <w:b/>
      <w:bCs/>
      <w:sz w:val="20"/>
    </w:rPr>
  </w:style>
  <w:style w:type="paragraph" w:customStyle="1" w:styleId="Heading2BorderAfterPortrait">
    <w:name w:val="Heading 2 Border After Portrait"/>
    <w:next w:val="Normal"/>
    <w:semiHidden/>
    <w:rsid w:val="00EA5BE0"/>
    <w:pPr>
      <w:keepNext/>
      <w:pBdr>
        <w:top w:val="single" w:sz="36" w:space="0" w:color="009DD7"/>
      </w:pBdr>
      <w:spacing w:before="180" w:after="0" w:line="276" w:lineRule="auto"/>
      <w:ind w:right="8280"/>
    </w:pPr>
    <w:rPr>
      <w:rFonts w:ascii="Calibri" w:eastAsia="Calibri" w:hAnsi="Calibri" w:cs="Times New Roman"/>
      <w:sz w:val="12"/>
      <w:szCs w:val="12"/>
    </w:rPr>
  </w:style>
  <w:style w:type="paragraph" w:customStyle="1" w:styleId="DocumentSubtitle">
    <w:name w:val="Document Subtitle"/>
    <w:basedOn w:val="Heading1-ReportCover"/>
    <w:next w:val="Heading1-ReportBorderAfterPortrait"/>
    <w:semiHidden/>
    <w:rsid w:val="00EA5BE0"/>
    <w:pPr>
      <w:spacing w:before="0" w:after="240"/>
    </w:pPr>
    <w:rPr>
      <w:rFonts w:cs="Arial"/>
      <w:b w:val="0"/>
      <w:bCs w:val="0"/>
      <w:sz w:val="48"/>
      <w:szCs w:val="48"/>
    </w:rPr>
  </w:style>
  <w:style w:type="paragraph" w:customStyle="1" w:styleId="DocumentDate">
    <w:name w:val="Document Date"/>
    <w:basedOn w:val="Normal"/>
    <w:semiHidden/>
    <w:rsid w:val="00EA5BE0"/>
    <w:pPr>
      <w:spacing w:before="360" w:after="480" w:line="240" w:lineRule="auto"/>
      <w:ind w:left="1627" w:hanging="1627"/>
    </w:pPr>
    <w:rPr>
      <w:rFonts w:ascii="Calibri" w:eastAsia="Calibri" w:hAnsi="Calibri" w:cs="Arial"/>
      <w:b/>
      <w:szCs w:val="20"/>
    </w:rPr>
  </w:style>
  <w:style w:type="paragraph" w:customStyle="1" w:styleId="Spacer-TitlePageTable">
    <w:name w:val="Spacer-Title Page Table"/>
    <w:basedOn w:val="NoSpacing"/>
    <w:semiHidden/>
    <w:rsid w:val="00EA5BE0"/>
    <w:pPr>
      <w:suppressAutoHyphens/>
      <w:spacing w:line="276" w:lineRule="auto"/>
    </w:pPr>
    <w:rPr>
      <w:rFonts w:ascii="Calibri" w:eastAsia="Calibri" w:hAnsi="Calibri" w:cs="Times New Roman"/>
      <w:sz w:val="12"/>
      <w:szCs w:val="12"/>
    </w:rPr>
  </w:style>
  <w:style w:type="paragraph" w:customStyle="1" w:styleId="DocumentTitle">
    <w:name w:val="Document Title"/>
    <w:basedOn w:val="HeadingFont"/>
    <w:semiHidden/>
    <w:rsid w:val="00EA5BE0"/>
    <w:pPr>
      <w:spacing w:before="1440"/>
    </w:pPr>
    <w:rPr>
      <w:b/>
      <w:bCs/>
      <w:sz w:val="56"/>
      <w:szCs w:val="56"/>
    </w:rPr>
  </w:style>
  <w:style w:type="character" w:customStyle="1" w:styleId="TitlePageCopyrightChar">
    <w:name w:val="Title Page Copyright Char"/>
    <w:basedOn w:val="DefaultParagraphFont"/>
    <w:link w:val="TitlePageCopyright"/>
    <w:uiPriority w:val="99"/>
    <w:locked/>
    <w:rsid w:val="00EA5BE0"/>
    <w:rPr>
      <w:rFonts w:ascii="Calibri" w:eastAsia="Calibri" w:hAnsi="Calibri" w:cs="Times New Roman"/>
      <w:color w:val="000000"/>
      <w:spacing w:val="-4"/>
      <w:sz w:val="18"/>
      <w:szCs w:val="18"/>
    </w:rPr>
  </w:style>
  <w:style w:type="paragraph" w:customStyle="1" w:styleId="TitlePageCopyright">
    <w:name w:val="Title Page Copyright"/>
    <w:basedOn w:val="BodyText"/>
    <w:link w:val="TitlePageCopyrightChar"/>
    <w:semiHidden/>
    <w:rsid w:val="00EA5BE0"/>
    <w:pPr>
      <w:suppressAutoHyphens/>
      <w:spacing w:before="120" w:after="0" w:line="240" w:lineRule="auto"/>
    </w:pPr>
    <w:rPr>
      <w:rFonts w:ascii="Calibri" w:eastAsia="Calibri" w:hAnsi="Calibri" w:cs="Times New Roman"/>
      <w:color w:val="000000"/>
      <w:spacing w:val="-4"/>
      <w:sz w:val="18"/>
      <w:szCs w:val="18"/>
    </w:rPr>
  </w:style>
  <w:style w:type="paragraph" w:customStyle="1" w:styleId="TitlePageURL">
    <w:name w:val="Title Page URL"/>
    <w:basedOn w:val="BodyText"/>
    <w:next w:val="TitlePageCopyright"/>
    <w:link w:val="TitlePageURLChar"/>
    <w:semiHidden/>
    <w:rsid w:val="00EA5BE0"/>
    <w:pPr>
      <w:suppressAutoHyphens/>
      <w:spacing w:line="240" w:lineRule="auto"/>
    </w:pPr>
    <w:rPr>
      <w:rFonts w:ascii="Calibri" w:eastAsia="Calibri" w:hAnsi="Calibri" w:cs="Times New Roman"/>
      <w:b/>
      <w:color w:val="000000"/>
      <w:szCs w:val="20"/>
    </w:rPr>
  </w:style>
  <w:style w:type="paragraph" w:customStyle="1" w:styleId="TitlePageLogo">
    <w:name w:val="Title Page Logo"/>
    <w:basedOn w:val="BodyText"/>
    <w:next w:val="TitlePageAddress"/>
    <w:semiHidden/>
    <w:rsid w:val="00EA5BE0"/>
    <w:pPr>
      <w:suppressAutoHyphens/>
      <w:spacing w:after="200" w:line="240" w:lineRule="auto"/>
    </w:pPr>
    <w:rPr>
      <w:rFonts w:ascii="Calibri" w:eastAsia="Calibri" w:hAnsi="Calibri" w:cs="Times New Roman"/>
      <w:noProof/>
      <w:color w:val="000000"/>
      <w:sz w:val="24"/>
      <w:szCs w:val="20"/>
    </w:rPr>
  </w:style>
  <w:style w:type="paragraph" w:customStyle="1" w:styleId="TitlePageAddress">
    <w:name w:val="Title Page Address"/>
    <w:basedOn w:val="BodyText"/>
    <w:link w:val="TitlePageAddressChar"/>
    <w:semiHidden/>
    <w:rsid w:val="00EA5BE0"/>
    <w:pPr>
      <w:suppressAutoHyphens/>
      <w:spacing w:after="0" w:line="240" w:lineRule="auto"/>
      <w:ind w:left="360"/>
    </w:pPr>
    <w:rPr>
      <w:rFonts w:ascii="Calibri" w:eastAsia="Calibri" w:hAnsi="Calibri" w:cs="Times New Roman"/>
      <w:szCs w:val="20"/>
    </w:rPr>
  </w:style>
  <w:style w:type="character" w:customStyle="1" w:styleId="TitlePageAddressChar">
    <w:name w:val="Title Page Address Char"/>
    <w:basedOn w:val="DefaultParagraphFont"/>
    <w:link w:val="TitlePageAddress"/>
    <w:rsid w:val="00EA5BE0"/>
    <w:rPr>
      <w:rFonts w:ascii="Calibri" w:eastAsia="Calibri" w:hAnsi="Calibri" w:cs="Times New Roman"/>
      <w:sz w:val="20"/>
      <w:szCs w:val="20"/>
    </w:rPr>
  </w:style>
  <w:style w:type="character" w:customStyle="1" w:styleId="TitlePageURLChar">
    <w:name w:val="Title Page URL Char"/>
    <w:basedOn w:val="BodyTextChar"/>
    <w:link w:val="TitlePageURL"/>
    <w:rsid w:val="00EA5BE0"/>
    <w:rPr>
      <w:rFonts w:ascii="Calibri" w:eastAsia="Calibri" w:hAnsi="Calibri" w:cs="Times New Roman"/>
      <w:b/>
      <w:color w:val="000000"/>
      <w:sz w:val="20"/>
      <w:szCs w:val="20"/>
    </w:rPr>
  </w:style>
  <w:style w:type="character" w:customStyle="1" w:styleId="ReferenceItalics">
    <w:name w:val="Reference Italics"/>
    <w:basedOn w:val="DefaultParagraphFont"/>
    <w:qFormat/>
    <w:rsid w:val="00EA5BE0"/>
    <w:rPr>
      <w:i/>
    </w:rPr>
  </w:style>
  <w:style w:type="paragraph" w:customStyle="1" w:styleId="SidebarHeadingonCharcoal">
    <w:name w:val="Sidebar Heading on Charcoal"/>
    <w:basedOn w:val="SidebarHeadingWhite"/>
    <w:qFormat/>
    <w:rsid w:val="00EA5BE0"/>
    <w:pPr>
      <w:pBdr>
        <w:bottom w:val="single" w:sz="36" w:space="5" w:color="006E9F"/>
      </w:pBdr>
      <w:spacing w:after="240"/>
      <w:jc w:val="left"/>
    </w:pPr>
    <w:rPr>
      <w:color w:val="00507F"/>
    </w:rPr>
  </w:style>
  <w:style w:type="paragraph" w:customStyle="1" w:styleId="AboutAIRText">
    <w:name w:val="About AIR Text"/>
    <w:basedOn w:val="AboutAIRHeading"/>
    <w:semiHidden/>
    <w:rsid w:val="00EA5BE0"/>
    <w:pPr>
      <w:spacing w:before="120" w:line="300" w:lineRule="auto"/>
      <w:ind w:left="2707"/>
      <w:jc w:val="both"/>
    </w:pPr>
    <w:rPr>
      <w:b w:val="0"/>
      <w:sz w:val="21"/>
      <w:szCs w:val="21"/>
    </w:rPr>
  </w:style>
  <w:style w:type="paragraph" w:customStyle="1" w:styleId="AboutAIRHeading">
    <w:name w:val="About AIR Heading"/>
    <w:semiHidden/>
    <w:rsid w:val="00EA5BE0"/>
    <w:pPr>
      <w:spacing w:before="320" w:after="0" w:line="276" w:lineRule="auto"/>
      <w:ind w:left="2700"/>
    </w:pPr>
    <w:rPr>
      <w:rFonts w:ascii="Calibri" w:hAnsi="Calibri" w:cs="Calibri"/>
      <w:b/>
      <w:bCs/>
      <w:sz w:val="24"/>
      <w:szCs w:val="20"/>
    </w:rPr>
  </w:style>
  <w:style w:type="paragraph" w:customStyle="1" w:styleId="SidebarHeading">
    <w:name w:val="Sidebar Heading"/>
    <w:basedOn w:val="SidebarText"/>
    <w:qFormat/>
    <w:rsid w:val="00EA5BE0"/>
    <w:pPr>
      <w:ind w:left="187" w:right="72"/>
    </w:pPr>
    <w:rPr>
      <w:b/>
      <w:bCs/>
      <w:color w:val="00507F"/>
      <w:sz w:val="24"/>
      <w:szCs w:val="36"/>
    </w:rPr>
  </w:style>
  <w:style w:type="paragraph" w:customStyle="1" w:styleId="TitlePageAuthor">
    <w:name w:val="Title Page Author"/>
    <w:basedOn w:val="Normal"/>
    <w:semiHidden/>
    <w:rsid w:val="00EA5BE0"/>
    <w:pPr>
      <w:spacing w:before="60" w:after="0" w:line="240" w:lineRule="auto"/>
    </w:pPr>
    <w:rPr>
      <w:rFonts w:ascii="Calibri" w:eastAsia="Calibri" w:hAnsi="Calibri" w:cs="Calibri"/>
      <w:sz w:val="22"/>
    </w:rPr>
  </w:style>
  <w:style w:type="paragraph" w:customStyle="1" w:styleId="TitlePageOrganization">
    <w:name w:val="Title Page Organization"/>
    <w:basedOn w:val="TitlePageAuthor"/>
    <w:semiHidden/>
    <w:rsid w:val="00EA5BE0"/>
    <w:pPr>
      <w:spacing w:before="0" w:after="200"/>
    </w:pPr>
    <w:rPr>
      <w:i/>
      <w:iCs/>
    </w:rPr>
  </w:style>
  <w:style w:type="paragraph" w:customStyle="1" w:styleId="TitlePageHeading">
    <w:name w:val="Title Page Heading"/>
    <w:semiHidden/>
    <w:rsid w:val="00EA5BE0"/>
    <w:pPr>
      <w:spacing w:after="0" w:line="240" w:lineRule="auto"/>
    </w:pPr>
    <w:rPr>
      <w:rFonts w:ascii="Calibri" w:eastAsia="Calibri" w:hAnsi="Calibri" w:cs="Calibri"/>
      <w:b/>
      <w:bCs/>
    </w:rPr>
  </w:style>
  <w:style w:type="paragraph" w:customStyle="1" w:styleId="InformationBoxHeading">
    <w:name w:val="Information Box Heading"/>
    <w:basedOn w:val="BodyText"/>
    <w:next w:val="InformationBoxText"/>
    <w:semiHidden/>
    <w:rsid w:val="00EA5BE0"/>
    <w:pPr>
      <w:suppressAutoHyphens/>
      <w:spacing w:before="180" w:line="240" w:lineRule="auto"/>
    </w:pPr>
    <w:rPr>
      <w:rFonts w:ascii="Arial Narrow" w:eastAsia="Calibri" w:hAnsi="Arial Narrow" w:cs="Times New Roman"/>
      <w:b/>
      <w:bCs/>
      <w:caps/>
      <w:color w:val="00507F"/>
      <w:sz w:val="24"/>
      <w:szCs w:val="20"/>
    </w:rPr>
  </w:style>
  <w:style w:type="paragraph" w:customStyle="1" w:styleId="InformationBoxText">
    <w:name w:val="Information Box Text"/>
    <w:basedOn w:val="BodyText"/>
    <w:semiHidden/>
    <w:rsid w:val="00EA5BE0"/>
    <w:pPr>
      <w:suppressAutoHyphens/>
      <w:spacing w:before="180" w:after="0" w:line="300" w:lineRule="auto"/>
      <w:ind w:right="360"/>
    </w:pPr>
    <w:rPr>
      <w:rFonts w:ascii="Arial Narrow" w:eastAsia="Calibri" w:hAnsi="Arial Narrow" w:cs="Times New Roman"/>
      <w:color w:val="00507F"/>
      <w:sz w:val="24"/>
      <w:szCs w:val="20"/>
    </w:rPr>
  </w:style>
  <w:style w:type="paragraph" w:customStyle="1" w:styleId="AppxTitle">
    <w:name w:val="Appx Title"/>
    <w:basedOn w:val="Heading2"/>
    <w:next w:val="BodyTextPostHead"/>
    <w:link w:val="AppxTitleChar"/>
    <w:semiHidden/>
    <w:rsid w:val="00EA5BE0"/>
    <w:pPr>
      <w:numPr>
        <w:ilvl w:val="0"/>
        <w:numId w:val="0"/>
      </w:numPr>
      <w:suppressAutoHyphens/>
      <w:spacing w:before="360" w:after="240" w:line="276" w:lineRule="auto"/>
    </w:pPr>
    <w:rPr>
      <w:b/>
      <w:color w:val="00507F"/>
      <w:sz w:val="44"/>
      <w:szCs w:val="20"/>
    </w:rPr>
  </w:style>
  <w:style w:type="numbering" w:customStyle="1" w:styleId="AppxCaptions">
    <w:name w:val="Appx Captions"/>
    <w:rsid w:val="00EA5BE0"/>
    <w:pPr>
      <w:numPr>
        <w:numId w:val="30"/>
      </w:numPr>
    </w:pPr>
  </w:style>
  <w:style w:type="paragraph" w:customStyle="1" w:styleId="AppxExhibitTitle">
    <w:name w:val="Appx Exhibit Title"/>
    <w:basedOn w:val="ExhibitTitle"/>
    <w:semiHidden/>
    <w:rsid w:val="00EA5BE0"/>
    <w:pPr>
      <w:suppressAutoHyphens/>
      <w:spacing w:before="240" w:after="120" w:line="276" w:lineRule="auto"/>
    </w:pPr>
    <w:rPr>
      <w:rFonts w:eastAsia="Times New Roman" w:cs="Times"/>
      <w:b/>
      <w:color w:val="auto"/>
      <w:sz w:val="24"/>
      <w:szCs w:val="20"/>
    </w:rPr>
  </w:style>
  <w:style w:type="table" w:customStyle="1" w:styleId="TableStyle-Agenda">
    <w:name w:val="_Table Style-Agenda"/>
    <w:basedOn w:val="TableNormal"/>
    <w:rsid w:val="00EA5BE0"/>
    <w:pPr>
      <w:spacing w:after="0" w:line="276" w:lineRule="auto"/>
    </w:pPr>
    <w:rPr>
      <w:rFonts w:ascii="Calibri" w:hAnsi="Calibri" w:cs="Calibri"/>
      <w:sz w:val="24"/>
      <w:szCs w:val="20"/>
    </w:rPr>
    <w:tblPr/>
    <w:tblStylePr w:type="firstRow">
      <w:pPr>
        <w:wordWrap/>
        <w:spacing w:beforeLines="0" w:before="0" w:beforeAutospacing="0" w:afterLines="0" w:after="0" w:afterAutospacing="0" w:line="276" w:lineRule="auto"/>
        <w:jc w:val="center"/>
      </w:pPr>
      <w:rPr>
        <w:b w:val="0"/>
        <w:color w:val="FFFFFF"/>
      </w:rPr>
      <w:tblPr/>
      <w:tcPr>
        <w:tcBorders>
          <w:top w:val="single" w:sz="6" w:space="0" w:color="FFFFFF"/>
          <w:left w:val="single" w:sz="6" w:space="0" w:color="00507F"/>
          <w:bottom w:val="single" w:sz="6" w:space="0" w:color="FFFFFF"/>
          <w:right w:val="single" w:sz="6" w:space="0" w:color="00507F"/>
          <w:insideH w:val="single" w:sz="6" w:space="0" w:color="auto"/>
          <w:insideV w:val="single" w:sz="6" w:space="0" w:color="FFFFFF"/>
          <w:tl2br w:val="nil"/>
          <w:tr2bl w:val="nil"/>
        </w:tcBorders>
        <w:shd w:val="clear" w:color="auto" w:fill="00507F"/>
        <w:vAlign w:val="bottom"/>
      </w:tcPr>
    </w:tblStylePr>
  </w:style>
  <w:style w:type="paragraph" w:customStyle="1" w:styleId="BoxTitle">
    <w:name w:val="Box Title"/>
    <w:basedOn w:val="BodyText"/>
    <w:semiHidden/>
    <w:rsid w:val="00EA5BE0"/>
    <w:pPr>
      <w:suppressAutoHyphens/>
      <w:spacing w:before="240" w:after="240" w:line="240" w:lineRule="auto"/>
    </w:pPr>
    <w:rPr>
      <w:rFonts w:ascii="Calibri" w:eastAsia="Calibri" w:hAnsi="Calibri" w:cs="Times New Roman"/>
      <w:b/>
      <w:bCs/>
      <w:sz w:val="22"/>
    </w:rPr>
  </w:style>
  <w:style w:type="paragraph" w:customStyle="1" w:styleId="TitlePagePubID">
    <w:name w:val="Title Page Pub ID"/>
    <w:basedOn w:val="TitlePageCopyright"/>
    <w:semiHidden/>
    <w:rsid w:val="00EA5BE0"/>
    <w:pPr>
      <w:jc w:val="right"/>
    </w:pPr>
    <w:rPr>
      <w:sz w:val="15"/>
      <w:szCs w:val="15"/>
    </w:rPr>
  </w:style>
  <w:style w:type="paragraph" w:customStyle="1" w:styleId="Callout-InlineSource">
    <w:name w:val="Callout-Inline Source"/>
    <w:basedOn w:val="Callout-InlineText"/>
    <w:next w:val="Normal"/>
    <w:semiHidden/>
    <w:rsid w:val="00EA5BE0"/>
    <w:pPr>
      <w:numPr>
        <w:numId w:val="31"/>
      </w:numPr>
      <w:tabs>
        <w:tab w:val="num" w:pos="360"/>
        <w:tab w:val="num" w:pos="720"/>
      </w:tabs>
      <w:spacing w:before="160" w:after="360" w:line="240" w:lineRule="auto"/>
      <w:ind w:left="720" w:hanging="360"/>
      <w:jc w:val="right"/>
    </w:pPr>
    <w:rPr>
      <w:i/>
      <w:iCs w:val="0"/>
    </w:rPr>
  </w:style>
  <w:style w:type="numbering" w:customStyle="1" w:styleId="Callout-Inline">
    <w:name w:val="Callout-Inline"/>
    <w:rsid w:val="00EA5BE0"/>
    <w:pPr>
      <w:numPr>
        <w:numId w:val="31"/>
      </w:numPr>
    </w:pPr>
  </w:style>
  <w:style w:type="character" w:customStyle="1" w:styleId="AIRORGURL">
    <w:name w:val="AIR.ORG URL"/>
    <w:semiHidden/>
    <w:rsid w:val="00EA5BE0"/>
    <w:rPr>
      <w:b/>
      <w:color w:val="00507F"/>
    </w:rPr>
  </w:style>
  <w:style w:type="paragraph" w:customStyle="1" w:styleId="Heading1-ReportBorderAfterLandscape">
    <w:name w:val="Heading 1-Report Border After Landscape"/>
    <w:basedOn w:val="Heading1-ReportBorderAfterPortrait"/>
    <w:semiHidden/>
    <w:rsid w:val="00EA5BE0"/>
    <w:pPr>
      <w:ind w:right="11520"/>
    </w:pPr>
  </w:style>
  <w:style w:type="paragraph" w:customStyle="1" w:styleId="Heading2BorderAfter-Landscape">
    <w:name w:val="Heading 2 Border After-Landscape"/>
    <w:next w:val="Normal"/>
    <w:semiHidden/>
    <w:rsid w:val="00EA5BE0"/>
    <w:pPr>
      <w:keepNext/>
      <w:pBdr>
        <w:top w:val="single" w:sz="36" w:space="0" w:color="009DD7"/>
      </w:pBdr>
      <w:spacing w:before="180" w:after="0" w:line="276" w:lineRule="auto"/>
      <w:ind w:right="11880"/>
    </w:pPr>
    <w:rPr>
      <w:rFonts w:ascii="Calibri" w:eastAsia="Calibri" w:hAnsi="Calibri" w:cs="Times New Roman"/>
      <w:sz w:val="12"/>
      <w:szCs w:val="12"/>
    </w:rPr>
  </w:style>
  <w:style w:type="paragraph" w:customStyle="1" w:styleId="TitlePageDate">
    <w:name w:val="Title Page Date"/>
    <w:basedOn w:val="DocumentDate"/>
    <w:semiHidden/>
    <w:rsid w:val="00EA5BE0"/>
    <w:rPr>
      <w:rFonts w:cs="Calibri"/>
    </w:rPr>
  </w:style>
  <w:style w:type="paragraph" w:customStyle="1" w:styleId="TitlePageSubtitle">
    <w:name w:val="Title Page Subtitle"/>
    <w:basedOn w:val="DocumentSubtitle"/>
    <w:semiHidden/>
    <w:rsid w:val="00EA5BE0"/>
    <w:pPr>
      <w:outlineLvl w:val="9"/>
    </w:pPr>
  </w:style>
  <w:style w:type="character" w:customStyle="1" w:styleId="Spacer-HeaderFooterChar">
    <w:name w:val="Spacer-HeaderFooter Char"/>
    <w:basedOn w:val="DefaultParagraphFont"/>
    <w:link w:val="Spacer-HeaderFooter"/>
    <w:rsid w:val="00EA5BE0"/>
    <w:rPr>
      <w:rFonts w:ascii="Calibri" w:hAnsi="Calibri" w:cs="Calibri"/>
      <w:sz w:val="2"/>
      <w:szCs w:val="2"/>
    </w:rPr>
  </w:style>
  <w:style w:type="paragraph" w:customStyle="1" w:styleId="CallOutBoxHeader">
    <w:name w:val="Call Out Box Header"/>
    <w:basedOn w:val="Normal"/>
    <w:semiHidden/>
    <w:rsid w:val="00EA5BE0"/>
    <w:pPr>
      <w:spacing w:after="240" w:line="324" w:lineRule="auto"/>
    </w:pPr>
    <w:rPr>
      <w:rFonts w:ascii="Arial" w:hAnsi="Arial" w:cs="Calibri"/>
      <w:b/>
      <w:caps/>
      <w:color w:val="660000"/>
      <w:spacing w:val="8"/>
      <w:sz w:val="22"/>
    </w:rPr>
  </w:style>
  <w:style w:type="character" w:customStyle="1" w:styleId="ExhibitTitleChar">
    <w:name w:val="Exhibit Title Char"/>
    <w:basedOn w:val="DefaultParagraphFont"/>
    <w:link w:val="ExhibitTitle"/>
    <w:rsid w:val="00EA5BE0"/>
    <w:rPr>
      <w:rFonts w:asciiTheme="majorHAnsi" w:hAnsiTheme="majorHAnsi"/>
      <w:color w:val="0B2949" w:themeColor="accent1"/>
    </w:rPr>
  </w:style>
  <w:style w:type="character" w:customStyle="1" w:styleId="ListParagraphChar">
    <w:name w:val="List Paragraph Char"/>
    <w:aliases w:val="Bulleted List Level 1 Char,MCHIP_list paragraph Char,List Paragraph1 Char,Recommendation Char,List Paragraph (numbered (a)) Char,Dot pt Char,F5 List Paragraph Char,No Spacing1 Char,List Paragraph Char Char Char Char,MAIN CONTENT Char"/>
    <w:basedOn w:val="DefaultParagraphFont"/>
    <w:link w:val="ListParagraph"/>
    <w:semiHidden/>
    <w:qFormat/>
    <w:rsid w:val="00EA5BE0"/>
    <w:rPr>
      <w:sz w:val="20"/>
    </w:rPr>
  </w:style>
  <w:style w:type="paragraph" w:customStyle="1" w:styleId="ListParagraphLevel2">
    <w:name w:val="List Paragraph Level 2"/>
    <w:basedOn w:val="ListParagraph"/>
    <w:semiHidden/>
    <w:rsid w:val="00EA5BE0"/>
    <w:pPr>
      <w:tabs>
        <w:tab w:val="num" w:pos="1080"/>
      </w:tabs>
      <w:spacing w:before="240" w:after="240" w:line="300" w:lineRule="auto"/>
      <w:ind w:left="1080" w:hanging="360"/>
      <w:contextualSpacing w:val="0"/>
    </w:pPr>
    <w:rPr>
      <w:rFonts w:ascii="Arial" w:hAnsi="Arial" w:cs="Calibri"/>
      <w:sz w:val="22"/>
    </w:rPr>
  </w:style>
  <w:style w:type="table" w:customStyle="1" w:styleId="IMPAQTanTable">
    <w:name w:val="IMPAQ Tan Table"/>
    <w:basedOn w:val="TableNormal"/>
    <w:rsid w:val="00EA5BE0"/>
    <w:pPr>
      <w:spacing w:after="0" w:line="240" w:lineRule="auto"/>
    </w:pPr>
    <w:rPr>
      <w:rFonts w:ascii="Arial" w:hAnsi="Arial" w:cs="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1EEFC"/>
      <w:vAlign w:val="center"/>
    </w:tcPr>
    <w:tblStylePr w:type="firstRow">
      <w:tblPr/>
      <w:tcPr>
        <w:shd w:val="clear" w:color="auto" w:fill="820023"/>
      </w:tcPr>
    </w:tblStylePr>
    <w:tblStylePr w:type="band1Horz">
      <w:rPr>
        <w:rFonts w:ascii="Arial" w:hAnsi="Arial"/>
        <w:sz w:val="22"/>
      </w:rPr>
    </w:tblStylePr>
    <w:tblStylePr w:type="band2Horz">
      <w:tblPr/>
      <w:tcPr>
        <w:shd w:val="clear" w:color="auto" w:fill="FFFFFF"/>
      </w:tcPr>
    </w:tblStylePr>
  </w:style>
  <w:style w:type="table" w:customStyle="1" w:styleId="GridTable4-Accent21">
    <w:name w:val="Grid Table 4 - Accent 21"/>
    <w:basedOn w:val="TableNormal"/>
    <w:next w:val="GridTable4-Accent2"/>
    <w:rsid w:val="00EA5BE0"/>
    <w:pPr>
      <w:spacing w:after="0" w:line="240" w:lineRule="auto"/>
    </w:pPr>
    <w:rPr>
      <w:rFonts w:ascii="Calibri" w:eastAsia="MS Mincho" w:hAnsi="Calibri" w:cs="Calibri"/>
    </w:rPr>
    <w:tblPr>
      <w:tblStyleRowBandSize w:val="1"/>
      <w:tblStyleColBandSize w:val="1"/>
      <w:tblBorders>
        <w:top w:val="single" w:sz="4" w:space="0" w:color="4ECFFF"/>
        <w:left w:val="single" w:sz="4" w:space="0" w:color="4ECFFF"/>
        <w:bottom w:val="single" w:sz="4" w:space="0" w:color="4ECFFF"/>
        <w:right w:val="single" w:sz="4" w:space="0" w:color="4ECFFF"/>
        <w:insideH w:val="single" w:sz="4" w:space="0" w:color="4ECFFF"/>
        <w:insideV w:val="single" w:sz="4" w:space="0" w:color="4ECFFF"/>
      </w:tblBorders>
    </w:tblPr>
    <w:tblStylePr w:type="firstRow">
      <w:rPr>
        <w:b/>
        <w:bCs/>
        <w:color w:val="FFFFFF"/>
      </w:rPr>
      <w:tblPr/>
      <w:tcPr>
        <w:tcBorders>
          <w:top w:val="single" w:sz="4" w:space="0" w:color="009DD7"/>
          <w:left w:val="single" w:sz="4" w:space="0" w:color="009DD7"/>
          <w:bottom w:val="single" w:sz="4" w:space="0" w:color="009DD7"/>
          <w:right w:val="single" w:sz="4" w:space="0" w:color="009DD7"/>
          <w:insideH w:val="nil"/>
          <w:insideV w:val="nil"/>
        </w:tcBorders>
        <w:shd w:val="clear" w:color="auto" w:fill="009DD7"/>
      </w:tcPr>
    </w:tblStylePr>
    <w:tblStylePr w:type="lastRow">
      <w:rPr>
        <w:b/>
        <w:bCs/>
      </w:rPr>
      <w:tblPr/>
      <w:tcPr>
        <w:tcBorders>
          <w:top w:val="double" w:sz="4" w:space="0" w:color="009DD7"/>
        </w:tcBorders>
      </w:tcPr>
    </w:tblStylePr>
    <w:tblStylePr w:type="firstCol">
      <w:rPr>
        <w:b/>
        <w:bCs/>
      </w:rPr>
    </w:tblStylePr>
    <w:tblStylePr w:type="lastCol">
      <w:rPr>
        <w:b/>
        <w:bCs/>
      </w:rPr>
    </w:tblStylePr>
    <w:tblStylePr w:type="band1Vert">
      <w:tblPr/>
      <w:tcPr>
        <w:shd w:val="clear" w:color="auto" w:fill="C4EFFF"/>
      </w:tcPr>
    </w:tblStylePr>
    <w:tblStylePr w:type="band1Horz">
      <w:tblPr/>
      <w:tcPr>
        <w:shd w:val="clear" w:color="auto" w:fill="C4EFFF"/>
      </w:tcPr>
    </w:tblStylePr>
  </w:style>
  <w:style w:type="paragraph" w:customStyle="1" w:styleId="Exhibit">
    <w:name w:val="Exhibit"/>
    <w:basedOn w:val="BodyTextPostHead"/>
    <w:link w:val="ExhibitChar"/>
    <w:semiHidden/>
    <w:rsid w:val="00EA5BE0"/>
    <w:pPr>
      <w:keepNext/>
      <w:jc w:val="center"/>
    </w:pPr>
    <w:rPr>
      <w:rFonts w:cs="Calibri"/>
      <w:b/>
      <w:color w:val="1C252D"/>
      <w:sz w:val="20"/>
      <w:szCs w:val="24"/>
    </w:rPr>
  </w:style>
  <w:style w:type="character" w:customStyle="1" w:styleId="AppxTitleChar">
    <w:name w:val="Appx Title Char"/>
    <w:basedOn w:val="Heading2Char"/>
    <w:link w:val="AppxTitle"/>
    <w:rsid w:val="00EA5BE0"/>
    <w:rPr>
      <w:rFonts w:asciiTheme="majorHAnsi" w:eastAsiaTheme="majorEastAsia" w:hAnsiTheme="majorHAnsi" w:cstheme="majorBidi"/>
      <w:b/>
      <w:color w:val="00507F"/>
      <w:sz w:val="44"/>
      <w:szCs w:val="20"/>
    </w:rPr>
  </w:style>
  <w:style w:type="character" w:customStyle="1" w:styleId="ExhibitChar">
    <w:name w:val="Exhibit Char"/>
    <w:basedOn w:val="DefaultParagraphFont"/>
    <w:link w:val="Exhibit"/>
    <w:rsid w:val="00EA5BE0"/>
    <w:rPr>
      <w:rFonts w:ascii="Calibri" w:eastAsia="Calibri" w:hAnsi="Calibri" w:cs="Calibri"/>
      <w:b/>
      <w:color w:val="1C252D"/>
      <w:sz w:val="20"/>
      <w:szCs w:val="24"/>
    </w:rPr>
  </w:style>
  <w:style w:type="paragraph" w:customStyle="1" w:styleId="Table">
    <w:name w:val="Table"/>
    <w:basedOn w:val="Normal"/>
    <w:link w:val="TableChar"/>
    <w:semiHidden/>
    <w:rsid w:val="00EA5BE0"/>
    <w:pPr>
      <w:spacing w:after="0" w:line="240" w:lineRule="auto"/>
      <w:jc w:val="center"/>
    </w:pPr>
    <w:rPr>
      <w:rFonts w:eastAsia="Times New Roman" w:cs="Calibri"/>
      <w:b/>
      <w:bCs/>
      <w:szCs w:val="20"/>
      <w:lang w:eastAsia="zh-CN"/>
    </w:rPr>
  </w:style>
  <w:style w:type="character" w:customStyle="1" w:styleId="TableChar">
    <w:name w:val="Table Char"/>
    <w:basedOn w:val="DefaultParagraphFont"/>
    <w:link w:val="Table"/>
    <w:rsid w:val="00EA5BE0"/>
    <w:rPr>
      <w:rFonts w:eastAsia="Times New Roman" w:cs="Calibri"/>
      <w:b/>
      <w:bCs/>
      <w:sz w:val="20"/>
      <w:szCs w:val="20"/>
      <w:lang w:eastAsia="zh-CN"/>
    </w:rPr>
  </w:style>
  <w:style w:type="numbering" w:customStyle="1" w:styleId="ListOrdered-Table10000000">
    <w:name w:val="_List Ordered-Table 10000000"/>
    <w:rsid w:val="00EA5BE0"/>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43753">
      <w:bodyDiv w:val="1"/>
      <w:marLeft w:val="0"/>
      <w:marRight w:val="0"/>
      <w:marTop w:val="0"/>
      <w:marBottom w:val="0"/>
      <w:divBdr>
        <w:top w:val="none" w:sz="0" w:space="0" w:color="auto"/>
        <w:left w:val="none" w:sz="0" w:space="0" w:color="auto"/>
        <w:bottom w:val="none" w:sz="0" w:space="0" w:color="auto"/>
        <w:right w:val="none" w:sz="0" w:space="0" w:color="auto"/>
      </w:divBdr>
    </w:div>
    <w:div w:id="140082667">
      <w:bodyDiv w:val="1"/>
      <w:marLeft w:val="0"/>
      <w:marRight w:val="0"/>
      <w:marTop w:val="0"/>
      <w:marBottom w:val="0"/>
      <w:divBdr>
        <w:top w:val="none" w:sz="0" w:space="0" w:color="auto"/>
        <w:left w:val="none" w:sz="0" w:space="0" w:color="auto"/>
        <w:bottom w:val="none" w:sz="0" w:space="0" w:color="auto"/>
        <w:right w:val="none" w:sz="0" w:space="0" w:color="auto"/>
      </w:divBdr>
    </w:div>
    <w:div w:id="160199293">
      <w:bodyDiv w:val="1"/>
      <w:marLeft w:val="0"/>
      <w:marRight w:val="0"/>
      <w:marTop w:val="0"/>
      <w:marBottom w:val="0"/>
      <w:divBdr>
        <w:top w:val="none" w:sz="0" w:space="0" w:color="auto"/>
        <w:left w:val="none" w:sz="0" w:space="0" w:color="auto"/>
        <w:bottom w:val="none" w:sz="0" w:space="0" w:color="auto"/>
        <w:right w:val="none" w:sz="0" w:space="0" w:color="auto"/>
      </w:divBdr>
    </w:div>
    <w:div w:id="172644800">
      <w:bodyDiv w:val="1"/>
      <w:marLeft w:val="0"/>
      <w:marRight w:val="0"/>
      <w:marTop w:val="0"/>
      <w:marBottom w:val="0"/>
      <w:divBdr>
        <w:top w:val="none" w:sz="0" w:space="0" w:color="auto"/>
        <w:left w:val="none" w:sz="0" w:space="0" w:color="auto"/>
        <w:bottom w:val="none" w:sz="0" w:space="0" w:color="auto"/>
        <w:right w:val="none" w:sz="0" w:space="0" w:color="auto"/>
      </w:divBdr>
    </w:div>
    <w:div w:id="182478555">
      <w:bodyDiv w:val="1"/>
      <w:marLeft w:val="0"/>
      <w:marRight w:val="0"/>
      <w:marTop w:val="0"/>
      <w:marBottom w:val="0"/>
      <w:divBdr>
        <w:top w:val="none" w:sz="0" w:space="0" w:color="auto"/>
        <w:left w:val="none" w:sz="0" w:space="0" w:color="auto"/>
        <w:bottom w:val="none" w:sz="0" w:space="0" w:color="auto"/>
        <w:right w:val="none" w:sz="0" w:space="0" w:color="auto"/>
      </w:divBdr>
    </w:div>
    <w:div w:id="187718436">
      <w:bodyDiv w:val="1"/>
      <w:marLeft w:val="0"/>
      <w:marRight w:val="0"/>
      <w:marTop w:val="0"/>
      <w:marBottom w:val="0"/>
      <w:divBdr>
        <w:top w:val="none" w:sz="0" w:space="0" w:color="auto"/>
        <w:left w:val="none" w:sz="0" w:space="0" w:color="auto"/>
        <w:bottom w:val="none" w:sz="0" w:space="0" w:color="auto"/>
        <w:right w:val="none" w:sz="0" w:space="0" w:color="auto"/>
      </w:divBdr>
    </w:div>
    <w:div w:id="188180853">
      <w:bodyDiv w:val="1"/>
      <w:marLeft w:val="0"/>
      <w:marRight w:val="0"/>
      <w:marTop w:val="0"/>
      <w:marBottom w:val="0"/>
      <w:divBdr>
        <w:top w:val="none" w:sz="0" w:space="0" w:color="auto"/>
        <w:left w:val="none" w:sz="0" w:space="0" w:color="auto"/>
        <w:bottom w:val="none" w:sz="0" w:space="0" w:color="auto"/>
        <w:right w:val="none" w:sz="0" w:space="0" w:color="auto"/>
      </w:divBdr>
    </w:div>
    <w:div w:id="222566788">
      <w:bodyDiv w:val="1"/>
      <w:marLeft w:val="0"/>
      <w:marRight w:val="0"/>
      <w:marTop w:val="0"/>
      <w:marBottom w:val="0"/>
      <w:divBdr>
        <w:top w:val="none" w:sz="0" w:space="0" w:color="auto"/>
        <w:left w:val="none" w:sz="0" w:space="0" w:color="auto"/>
        <w:bottom w:val="none" w:sz="0" w:space="0" w:color="auto"/>
        <w:right w:val="none" w:sz="0" w:space="0" w:color="auto"/>
      </w:divBdr>
    </w:div>
    <w:div w:id="420414639">
      <w:bodyDiv w:val="1"/>
      <w:marLeft w:val="0"/>
      <w:marRight w:val="0"/>
      <w:marTop w:val="0"/>
      <w:marBottom w:val="0"/>
      <w:divBdr>
        <w:top w:val="none" w:sz="0" w:space="0" w:color="auto"/>
        <w:left w:val="none" w:sz="0" w:space="0" w:color="auto"/>
        <w:bottom w:val="none" w:sz="0" w:space="0" w:color="auto"/>
        <w:right w:val="none" w:sz="0" w:space="0" w:color="auto"/>
      </w:divBdr>
    </w:div>
    <w:div w:id="446004989">
      <w:bodyDiv w:val="1"/>
      <w:marLeft w:val="0"/>
      <w:marRight w:val="0"/>
      <w:marTop w:val="0"/>
      <w:marBottom w:val="0"/>
      <w:divBdr>
        <w:top w:val="none" w:sz="0" w:space="0" w:color="auto"/>
        <w:left w:val="none" w:sz="0" w:space="0" w:color="auto"/>
        <w:bottom w:val="none" w:sz="0" w:space="0" w:color="auto"/>
        <w:right w:val="none" w:sz="0" w:space="0" w:color="auto"/>
      </w:divBdr>
    </w:div>
    <w:div w:id="579562168">
      <w:bodyDiv w:val="1"/>
      <w:marLeft w:val="0"/>
      <w:marRight w:val="0"/>
      <w:marTop w:val="0"/>
      <w:marBottom w:val="0"/>
      <w:divBdr>
        <w:top w:val="none" w:sz="0" w:space="0" w:color="auto"/>
        <w:left w:val="none" w:sz="0" w:space="0" w:color="auto"/>
        <w:bottom w:val="none" w:sz="0" w:space="0" w:color="auto"/>
        <w:right w:val="none" w:sz="0" w:space="0" w:color="auto"/>
      </w:divBdr>
    </w:div>
    <w:div w:id="587151828">
      <w:bodyDiv w:val="1"/>
      <w:marLeft w:val="0"/>
      <w:marRight w:val="0"/>
      <w:marTop w:val="0"/>
      <w:marBottom w:val="0"/>
      <w:divBdr>
        <w:top w:val="none" w:sz="0" w:space="0" w:color="auto"/>
        <w:left w:val="none" w:sz="0" w:space="0" w:color="auto"/>
        <w:bottom w:val="none" w:sz="0" w:space="0" w:color="auto"/>
        <w:right w:val="none" w:sz="0" w:space="0" w:color="auto"/>
      </w:divBdr>
    </w:div>
    <w:div w:id="644509303">
      <w:bodyDiv w:val="1"/>
      <w:marLeft w:val="0"/>
      <w:marRight w:val="0"/>
      <w:marTop w:val="0"/>
      <w:marBottom w:val="0"/>
      <w:divBdr>
        <w:top w:val="none" w:sz="0" w:space="0" w:color="auto"/>
        <w:left w:val="none" w:sz="0" w:space="0" w:color="auto"/>
        <w:bottom w:val="none" w:sz="0" w:space="0" w:color="auto"/>
        <w:right w:val="none" w:sz="0" w:space="0" w:color="auto"/>
      </w:divBdr>
    </w:div>
    <w:div w:id="802357510">
      <w:bodyDiv w:val="1"/>
      <w:marLeft w:val="0"/>
      <w:marRight w:val="0"/>
      <w:marTop w:val="0"/>
      <w:marBottom w:val="0"/>
      <w:divBdr>
        <w:top w:val="none" w:sz="0" w:space="0" w:color="auto"/>
        <w:left w:val="none" w:sz="0" w:space="0" w:color="auto"/>
        <w:bottom w:val="none" w:sz="0" w:space="0" w:color="auto"/>
        <w:right w:val="none" w:sz="0" w:space="0" w:color="auto"/>
      </w:divBdr>
    </w:div>
    <w:div w:id="1108892465">
      <w:bodyDiv w:val="1"/>
      <w:marLeft w:val="0"/>
      <w:marRight w:val="0"/>
      <w:marTop w:val="0"/>
      <w:marBottom w:val="0"/>
      <w:divBdr>
        <w:top w:val="none" w:sz="0" w:space="0" w:color="auto"/>
        <w:left w:val="none" w:sz="0" w:space="0" w:color="auto"/>
        <w:bottom w:val="none" w:sz="0" w:space="0" w:color="auto"/>
        <w:right w:val="none" w:sz="0" w:space="0" w:color="auto"/>
      </w:divBdr>
    </w:div>
    <w:div w:id="1287128276">
      <w:bodyDiv w:val="1"/>
      <w:marLeft w:val="0"/>
      <w:marRight w:val="0"/>
      <w:marTop w:val="0"/>
      <w:marBottom w:val="0"/>
      <w:divBdr>
        <w:top w:val="none" w:sz="0" w:space="0" w:color="auto"/>
        <w:left w:val="none" w:sz="0" w:space="0" w:color="auto"/>
        <w:bottom w:val="none" w:sz="0" w:space="0" w:color="auto"/>
        <w:right w:val="none" w:sz="0" w:space="0" w:color="auto"/>
      </w:divBdr>
    </w:div>
    <w:div w:id="1334378917">
      <w:bodyDiv w:val="1"/>
      <w:marLeft w:val="0"/>
      <w:marRight w:val="0"/>
      <w:marTop w:val="0"/>
      <w:marBottom w:val="0"/>
      <w:divBdr>
        <w:top w:val="none" w:sz="0" w:space="0" w:color="auto"/>
        <w:left w:val="none" w:sz="0" w:space="0" w:color="auto"/>
        <w:bottom w:val="none" w:sz="0" w:space="0" w:color="auto"/>
        <w:right w:val="none" w:sz="0" w:space="0" w:color="auto"/>
      </w:divBdr>
    </w:div>
    <w:div w:id="1431242036">
      <w:bodyDiv w:val="1"/>
      <w:marLeft w:val="0"/>
      <w:marRight w:val="0"/>
      <w:marTop w:val="0"/>
      <w:marBottom w:val="0"/>
      <w:divBdr>
        <w:top w:val="none" w:sz="0" w:space="0" w:color="auto"/>
        <w:left w:val="none" w:sz="0" w:space="0" w:color="auto"/>
        <w:bottom w:val="none" w:sz="0" w:space="0" w:color="auto"/>
        <w:right w:val="none" w:sz="0" w:space="0" w:color="auto"/>
      </w:divBdr>
    </w:div>
    <w:div w:id="1520462152">
      <w:bodyDiv w:val="1"/>
      <w:marLeft w:val="0"/>
      <w:marRight w:val="0"/>
      <w:marTop w:val="0"/>
      <w:marBottom w:val="0"/>
      <w:divBdr>
        <w:top w:val="none" w:sz="0" w:space="0" w:color="auto"/>
        <w:left w:val="none" w:sz="0" w:space="0" w:color="auto"/>
        <w:bottom w:val="none" w:sz="0" w:space="0" w:color="auto"/>
        <w:right w:val="none" w:sz="0" w:space="0" w:color="auto"/>
      </w:divBdr>
    </w:div>
    <w:div w:id="1537740206">
      <w:bodyDiv w:val="1"/>
      <w:marLeft w:val="0"/>
      <w:marRight w:val="0"/>
      <w:marTop w:val="0"/>
      <w:marBottom w:val="0"/>
      <w:divBdr>
        <w:top w:val="none" w:sz="0" w:space="0" w:color="auto"/>
        <w:left w:val="none" w:sz="0" w:space="0" w:color="auto"/>
        <w:bottom w:val="none" w:sz="0" w:space="0" w:color="auto"/>
        <w:right w:val="none" w:sz="0" w:space="0" w:color="auto"/>
      </w:divBdr>
    </w:div>
    <w:div w:id="1672873075">
      <w:bodyDiv w:val="1"/>
      <w:marLeft w:val="0"/>
      <w:marRight w:val="0"/>
      <w:marTop w:val="0"/>
      <w:marBottom w:val="0"/>
      <w:divBdr>
        <w:top w:val="none" w:sz="0" w:space="0" w:color="auto"/>
        <w:left w:val="none" w:sz="0" w:space="0" w:color="auto"/>
        <w:bottom w:val="none" w:sz="0" w:space="0" w:color="auto"/>
        <w:right w:val="none" w:sz="0" w:space="0" w:color="auto"/>
      </w:divBdr>
    </w:div>
    <w:div w:id="1775009701">
      <w:bodyDiv w:val="1"/>
      <w:marLeft w:val="0"/>
      <w:marRight w:val="0"/>
      <w:marTop w:val="0"/>
      <w:marBottom w:val="0"/>
      <w:divBdr>
        <w:top w:val="none" w:sz="0" w:space="0" w:color="auto"/>
        <w:left w:val="none" w:sz="0" w:space="0" w:color="auto"/>
        <w:bottom w:val="none" w:sz="0" w:space="0" w:color="auto"/>
        <w:right w:val="none" w:sz="0" w:space="0" w:color="auto"/>
      </w:divBdr>
    </w:div>
    <w:div w:id="1800764271">
      <w:bodyDiv w:val="1"/>
      <w:marLeft w:val="0"/>
      <w:marRight w:val="0"/>
      <w:marTop w:val="0"/>
      <w:marBottom w:val="0"/>
      <w:divBdr>
        <w:top w:val="none" w:sz="0" w:space="0" w:color="auto"/>
        <w:left w:val="none" w:sz="0" w:space="0" w:color="auto"/>
        <w:bottom w:val="none" w:sz="0" w:space="0" w:color="auto"/>
        <w:right w:val="none" w:sz="0" w:space="0" w:color="auto"/>
      </w:divBdr>
    </w:div>
    <w:div w:id="1900940314">
      <w:bodyDiv w:val="1"/>
      <w:marLeft w:val="0"/>
      <w:marRight w:val="0"/>
      <w:marTop w:val="0"/>
      <w:marBottom w:val="0"/>
      <w:divBdr>
        <w:top w:val="none" w:sz="0" w:space="0" w:color="auto"/>
        <w:left w:val="none" w:sz="0" w:space="0" w:color="auto"/>
        <w:bottom w:val="none" w:sz="0" w:space="0" w:color="auto"/>
        <w:right w:val="none" w:sz="0" w:space="0" w:color="auto"/>
      </w:divBdr>
    </w:div>
    <w:div w:id="2010252417">
      <w:bodyDiv w:val="1"/>
      <w:marLeft w:val="0"/>
      <w:marRight w:val="0"/>
      <w:marTop w:val="0"/>
      <w:marBottom w:val="0"/>
      <w:divBdr>
        <w:top w:val="none" w:sz="0" w:space="0" w:color="auto"/>
        <w:left w:val="none" w:sz="0" w:space="0" w:color="auto"/>
        <w:bottom w:val="none" w:sz="0" w:space="0" w:color="auto"/>
        <w:right w:val="none" w:sz="0" w:space="0" w:color="auto"/>
      </w:divBdr>
    </w:div>
    <w:div w:id="2138647457">
      <w:bodyDiv w:val="1"/>
      <w:marLeft w:val="0"/>
      <w:marRight w:val="0"/>
      <w:marTop w:val="0"/>
      <w:marBottom w:val="0"/>
      <w:divBdr>
        <w:top w:val="none" w:sz="0" w:space="0" w:color="auto"/>
        <w:left w:val="none" w:sz="0" w:space="0" w:color="auto"/>
        <w:bottom w:val="none" w:sz="0" w:space="0" w:color="auto"/>
        <w:right w:val="none" w:sz="0" w:space="0" w:color="auto"/>
      </w:divBdr>
    </w:div>
    <w:div w:id="214010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https://journals.lww.com/ejanaesthesiology/fulltext/2024/08000/european_guidelines_on_peri_operative_venous.3.aspx" TargetMode="External"/><Relationship Id="rId39" Type="http://schemas.openxmlformats.org/officeDocument/2006/relationships/footer" Target="footer7.xml"/><Relationship Id="rId21" Type="http://schemas.openxmlformats.org/officeDocument/2006/relationships/hyperlink" Target="https://doi.org/10.1016/j.chest.2021.07.055" TargetMode="External"/><Relationship Id="rId34" Type="http://schemas.openxmlformats.org/officeDocument/2006/relationships/hyperlink" Target="https://www.mathematica.org/"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journal.chestnet.org/article/S0012-3692(12)60125-1/fulltext" TargetMode="External"/><Relationship Id="rId29" Type="http://schemas.openxmlformats.org/officeDocument/2006/relationships/hyperlink" Target="https://doi.org/10.1097/EJA.0000000000000702" TargetMode="Externa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oi.org/10.1097/EJA.0000000000000705" TargetMode="Externa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header" Target="header9.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doi.org/10.1097/EJA.0000000000000710" TargetMode="External"/><Relationship Id="rId28" Type="http://schemas.openxmlformats.org/officeDocument/2006/relationships/hyperlink" Target="https://doi.org/10.1097/EJA.0000000000000725" TargetMode="External"/><Relationship Id="rId36"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ashpublications.org/bloodadvances/article/3/23/3898/429211/American-Society-of-Hematology-2019-guidelines-for" TargetMode="External"/><Relationship Id="rId27" Type="http://schemas.openxmlformats.org/officeDocument/2006/relationships/hyperlink" Target="https://doi.org/10.1097/EJA.0000000000000716" TargetMode="External"/><Relationship Id="rId30" Type="http://schemas.openxmlformats.org/officeDocument/2006/relationships/header" Target="header5.xml"/><Relationship Id="rId35" Type="http://schemas.openxmlformats.org/officeDocument/2006/relationships/hyperlink" Target="https://www.edi-global.com/"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doi.org/10.1097/EJA.0000000000000708" TargetMode="External"/><Relationship Id="rId33" Type="http://schemas.openxmlformats.org/officeDocument/2006/relationships/footer" Target="footer5.xml"/><Relationship Id="rId38"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leflore\Mathematica\Mathematica%20Templates%20-%20Documents\1MathU-Report.dotm" TargetMode="External"/></Relationships>
</file>

<file path=word/theme/theme1.xml><?xml version="1.0" encoding="utf-8"?>
<a:theme xmlns:a="http://schemas.openxmlformats.org/drawingml/2006/main" name="MathematicaUniversal">
  <a:themeElements>
    <a:clrScheme name="Custom 72">
      <a:dk1>
        <a:sysClr val="windowText" lastClr="000000"/>
      </a:dk1>
      <a:lt1>
        <a:sysClr val="window" lastClr="FFFFFF"/>
      </a:lt1>
      <a:dk2>
        <a:srgbClr val="046B5C"/>
      </a:dk2>
      <a:lt2>
        <a:srgbClr val="E0D4B5"/>
      </a:lt2>
      <a:accent1>
        <a:srgbClr val="0B2949"/>
      </a:accent1>
      <a:accent2>
        <a:srgbClr val="D02B27"/>
      </a:accent2>
      <a:accent3>
        <a:srgbClr val="5B6771"/>
      </a:accent3>
      <a:accent4>
        <a:srgbClr val="F1B51C"/>
      </a:accent4>
      <a:accent5>
        <a:srgbClr val="189394"/>
      </a:accent5>
      <a:accent6>
        <a:srgbClr val="17A673"/>
      </a:accent6>
      <a:hlink>
        <a:srgbClr val="0563C1"/>
      </a:hlink>
      <a:folHlink>
        <a:srgbClr val="0563C1"/>
      </a:folHlink>
    </a:clrScheme>
    <a:fontScheme name="Custom 79">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athematicaUniversal" id="{BB05129C-F736-476A-B98F-8146642B56CC}" vid="{081D5247-F3CF-45D3-9D58-60382E69F0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c7d3ccd-c05a-4738-9135-4004d5465c34" xsi:nil="true"/>
    <lcf76f155ced4ddcb4097134ff3c332f xmlns="cd2a107e-b9ef-4ceb-a1da-4a5750a1e8f6">
      <Terms xmlns="http://schemas.microsoft.com/office/infopath/2007/PartnerControls"/>
    </lcf76f155ced4ddcb4097134ff3c332f>
    <Tags xmlns="cd2a107e-b9ef-4ceb-a1da-4a5750a1e8f6" xsi:nil="true"/>
    <Comments xmlns="cd2a107e-b9ef-4ceb-a1da-4a5750a1e8f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546E1A969394D42B226EE660BD9CBEB" ma:contentTypeVersion="16" ma:contentTypeDescription="Create a new document." ma:contentTypeScope="" ma:versionID="2f317cf944c03db07674ad5abe456dc7">
  <xsd:schema xmlns:xsd="http://www.w3.org/2001/XMLSchema" xmlns:xs="http://www.w3.org/2001/XMLSchema" xmlns:p="http://schemas.microsoft.com/office/2006/metadata/properties" xmlns:ns2="cd2a107e-b9ef-4ceb-a1da-4a5750a1e8f6" xmlns:ns3="4c7d3ccd-c05a-4738-9135-4004d5465c34" targetNamespace="http://schemas.microsoft.com/office/2006/metadata/properties" ma:root="true" ma:fieldsID="a86fccecbbb96301fe70334e7bda86c0" ns2:_="" ns3:_="">
    <xsd:import namespace="cd2a107e-b9ef-4ceb-a1da-4a5750a1e8f6"/>
    <xsd:import namespace="4c7d3ccd-c05a-4738-9135-4004d5465c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Tag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a107e-b9ef-4ceb-a1da-4a5750a1e8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0b95c9-4b07-4b98-a933-278a957ba38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Tags" ma:index="21" nillable="true" ma:displayName="Tags" ma:description="Tags" ma:internalName="Tags">
      <xsd:simpleType>
        <xsd:restriction base="dms:Note">
          <xsd:maxLength value="255"/>
        </xsd:restriction>
      </xsd:simpleType>
    </xsd:element>
    <xsd:element name="Comments" ma:index="22"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7d3ccd-c05a-4738-9135-4004d5465c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5156d7-828d-4660-9737-284bdccc0463}" ma:internalName="TaxCatchAll" ma:showField="CatchAllData" ma:web="4c7d3ccd-c05a-4738-9135-4004d5465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0A5542-2620-43C2-9AAA-5A81273F9AF8}">
  <ds:schemaRefs>
    <ds:schemaRef ds:uri="http://schemas.openxmlformats.org/officeDocument/2006/bibliography"/>
  </ds:schemaRefs>
</ds:datastoreItem>
</file>

<file path=customXml/itemProps3.xml><?xml version="1.0" encoding="utf-8"?>
<ds:datastoreItem xmlns:ds="http://schemas.openxmlformats.org/officeDocument/2006/customXml" ds:itemID="{D2BAAAFA-0139-467E-9614-02DD6B7245AA}">
  <ds:schemaRefs>
    <ds:schemaRef ds:uri="http://schemas.microsoft.com/office/2006/metadata/properties"/>
    <ds:schemaRef ds:uri="http://schemas.microsoft.com/office/infopath/2007/PartnerControls"/>
    <ds:schemaRef ds:uri="4c7d3ccd-c05a-4738-9135-4004d5465c34"/>
    <ds:schemaRef ds:uri="cd2a107e-b9ef-4ceb-a1da-4a5750a1e8f6"/>
  </ds:schemaRefs>
</ds:datastoreItem>
</file>

<file path=customXml/itemProps4.xml><?xml version="1.0" encoding="utf-8"?>
<ds:datastoreItem xmlns:ds="http://schemas.openxmlformats.org/officeDocument/2006/customXml" ds:itemID="{B70706A9-CB1B-428B-9C01-8DD17B1E4F19}">
  <ds:schemaRefs>
    <ds:schemaRef ds:uri="http://schemas.microsoft.com/sharepoint/v3/contenttype/forms"/>
  </ds:schemaRefs>
</ds:datastoreItem>
</file>

<file path=customXml/itemProps5.xml><?xml version="1.0" encoding="utf-8"?>
<ds:datastoreItem xmlns:ds="http://schemas.openxmlformats.org/officeDocument/2006/customXml" ds:itemID="{35BAB554-783F-4EAF-AE5C-E87D86D659CC}"/>
</file>

<file path=docProps/app.xml><?xml version="1.0" encoding="utf-8"?>
<Properties xmlns="http://schemas.openxmlformats.org/officeDocument/2006/extended-properties" xmlns:vt="http://schemas.openxmlformats.org/officeDocument/2006/docPropsVTypes">
  <Template>1MathU-Report.dotm</Template>
  <TotalTime>53</TotalTime>
  <Pages>41</Pages>
  <Words>13519</Words>
  <Characters>77059</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1-column report template</vt:lpstr>
    </vt:vector>
  </TitlesOfParts>
  <Manager/>
  <Company>Mathematica</Company>
  <LinksUpToDate>false</LinksUpToDate>
  <CharactersWithSpaces>90398</CharactersWithSpaces>
  <SharedDoc>false</SharedDoc>
  <HLinks>
    <vt:vector size="246" baseType="variant">
      <vt:variant>
        <vt:i4>7143524</vt:i4>
      </vt:variant>
      <vt:variant>
        <vt:i4>183</vt:i4>
      </vt:variant>
      <vt:variant>
        <vt:i4>0</vt:i4>
      </vt:variant>
      <vt:variant>
        <vt:i4>5</vt:i4>
      </vt:variant>
      <vt:variant>
        <vt:lpwstr>https://www.edi-global.com/</vt:lpwstr>
      </vt:variant>
      <vt:variant>
        <vt:lpwstr/>
      </vt:variant>
      <vt:variant>
        <vt:i4>4718685</vt:i4>
      </vt:variant>
      <vt:variant>
        <vt:i4>180</vt:i4>
      </vt:variant>
      <vt:variant>
        <vt:i4>0</vt:i4>
      </vt:variant>
      <vt:variant>
        <vt:i4>5</vt:i4>
      </vt:variant>
      <vt:variant>
        <vt:lpwstr>https://www.mathematica.org/</vt:lpwstr>
      </vt:variant>
      <vt:variant>
        <vt:lpwstr/>
      </vt:variant>
      <vt:variant>
        <vt:i4>4128883</vt:i4>
      </vt:variant>
      <vt:variant>
        <vt:i4>177</vt:i4>
      </vt:variant>
      <vt:variant>
        <vt:i4>0</vt:i4>
      </vt:variant>
      <vt:variant>
        <vt:i4>5</vt:i4>
      </vt:variant>
      <vt:variant>
        <vt:lpwstr/>
      </vt:variant>
      <vt:variant>
        <vt:lpwstr>Table2</vt:lpwstr>
      </vt:variant>
      <vt:variant>
        <vt:i4>5963848</vt:i4>
      </vt:variant>
      <vt:variant>
        <vt:i4>174</vt:i4>
      </vt:variant>
      <vt:variant>
        <vt:i4>0</vt:i4>
      </vt:variant>
      <vt:variant>
        <vt:i4>5</vt:i4>
      </vt:variant>
      <vt:variant>
        <vt:lpwstr>https://doi.org/10.1200/JCO.23.00294</vt:lpwstr>
      </vt:variant>
      <vt:variant>
        <vt:lpwstr/>
      </vt:variant>
      <vt:variant>
        <vt:i4>5963865</vt:i4>
      </vt:variant>
      <vt:variant>
        <vt:i4>171</vt:i4>
      </vt:variant>
      <vt:variant>
        <vt:i4>0</vt:i4>
      </vt:variant>
      <vt:variant>
        <vt:i4>5</vt:i4>
      </vt:variant>
      <vt:variant>
        <vt:lpwstr>https://doi.org/10.1097/EJA.0000000000000702</vt:lpwstr>
      </vt:variant>
      <vt:variant>
        <vt:lpwstr/>
      </vt:variant>
      <vt:variant>
        <vt:i4>6029403</vt:i4>
      </vt:variant>
      <vt:variant>
        <vt:i4>168</vt:i4>
      </vt:variant>
      <vt:variant>
        <vt:i4>0</vt:i4>
      </vt:variant>
      <vt:variant>
        <vt:i4>5</vt:i4>
      </vt:variant>
      <vt:variant>
        <vt:lpwstr>https://doi.org/10.1097/EJA.0000000000000725</vt:lpwstr>
      </vt:variant>
      <vt:variant>
        <vt:lpwstr/>
      </vt:variant>
      <vt:variant>
        <vt:i4>6226008</vt:i4>
      </vt:variant>
      <vt:variant>
        <vt:i4>165</vt:i4>
      </vt:variant>
      <vt:variant>
        <vt:i4>0</vt:i4>
      </vt:variant>
      <vt:variant>
        <vt:i4>5</vt:i4>
      </vt:variant>
      <vt:variant>
        <vt:lpwstr>https://doi.org/10.1097/EJA.0000000000000716</vt:lpwstr>
      </vt:variant>
      <vt:variant>
        <vt:lpwstr/>
      </vt:variant>
      <vt:variant>
        <vt:i4>15409157</vt:i4>
      </vt:variant>
      <vt:variant>
        <vt:i4>162</vt:i4>
      </vt:variant>
      <vt:variant>
        <vt:i4>0</vt:i4>
      </vt:variant>
      <vt:variant>
        <vt:i4>5</vt:i4>
      </vt:variant>
      <vt:variant>
        <vt:lpwstr>Samama, C. M., Afshari, A., Lars Grønlykke, Madsen, M. H., Wiberg, S., &amp; Romero, C. S. (2024). European guidelines on peri-operative venous thromboembolism prophylaxis: first update. European Journal of Anaesthesiology, 41(8), 561–569. https:/doi.org/10.1097/eja.0000000000002025</vt:lpwstr>
      </vt:variant>
      <vt:variant>
        <vt:lpwstr/>
      </vt:variant>
      <vt:variant>
        <vt:i4>537329780</vt:i4>
      </vt:variant>
      <vt:variant>
        <vt:i4>159</vt:i4>
      </vt:variant>
      <vt:variant>
        <vt:i4>0</vt:i4>
      </vt:variant>
      <vt:variant>
        <vt:i4>5</vt:i4>
      </vt:variant>
      <vt:variant>
        <vt:lpwstr>https://msair.sharepoint.com/sites/Impaq_Projects/MIDS_Patient/Shared Documents/Task 1 – Management and Coordination/Transition Documents/To Mathematica/Hospital Harm eCQMs/HH - Postoperative Venous Thromboembolism/MUC (2024)/Venclauskas, L., Maleckas, A., %26 Arcelus, J. I. (2018). European guidelines on perioperative venous thromboembolism prophylaxis: Surgery in the obese patient. European Journal of Anaesthesiology, 35(2), /EJA.0000000000000703</vt:lpwstr>
      </vt:variant>
      <vt:variant>
        <vt:lpwstr/>
      </vt:variant>
      <vt:variant>
        <vt:i4>15409157</vt:i4>
      </vt:variant>
      <vt:variant>
        <vt:i4>156</vt:i4>
      </vt:variant>
      <vt:variant>
        <vt:i4>0</vt:i4>
      </vt:variant>
      <vt:variant>
        <vt:i4>5</vt:i4>
      </vt:variant>
      <vt:variant>
        <vt:lpwstr>Samama, C. M., Afshari, A., Lars Grønlykke, Madsen, M. H., Wiberg, S., &amp; Romero, C. S. (2024). European guidelines on peri-operative venous thromboembolism prophylaxis: first update. European Journal of Anaesthesiology, 41(8), 561–569. https:/doi.org/10.1097/eja.0000000000002025</vt:lpwstr>
      </vt:variant>
      <vt:variant>
        <vt:lpwstr/>
      </vt:variant>
      <vt:variant>
        <vt:i4>7536679</vt:i4>
      </vt:variant>
      <vt:variant>
        <vt:i4>153</vt:i4>
      </vt:variant>
      <vt:variant>
        <vt:i4>0</vt:i4>
      </vt:variant>
      <vt:variant>
        <vt:i4>5</vt:i4>
      </vt:variant>
      <vt:variant>
        <vt:lpwstr>https://msair.sharepoint.com/sites/Impaq_Projects/MIDS_Patient/VTE/6. MUC List/2024/Venclauskas, L., Maleckas, A., %26 Arcelus, J. I. (2018). European guidelines on perioperative venous thromboembolism prophylaxis: Surgery in the obese patient. European Journal of Anaesthesiology, 35(2), 147–153. https:/doi.org/10.1097/EJA.0000000000000703</vt:lpwstr>
      </vt:variant>
      <vt:variant>
        <vt:lpwstr/>
      </vt:variant>
      <vt:variant>
        <vt:i4>7020677</vt:i4>
      </vt:variant>
      <vt:variant>
        <vt:i4>150</vt:i4>
      </vt:variant>
      <vt:variant>
        <vt:i4>0</vt:i4>
      </vt:variant>
      <vt:variant>
        <vt:i4>5</vt:i4>
      </vt:variant>
      <vt:variant>
        <vt:lpwstr>Samama, C. M., Afshari, A., Lars Grønlykke, Madsen, M. H., Wiberg, S., &amp; Romero, C. S. (2024). European guidelines on peri-operative venous thromboembolism prophylaxis: first update. European Journal of Anaesthesiology, 41(8), 561–569. https:/doi.org/10.1097/eja.0000000000002025</vt:lpwstr>
      </vt:variant>
      <vt:variant>
        <vt:lpwstr/>
      </vt:variant>
      <vt:variant>
        <vt:i4>5308505</vt:i4>
      </vt:variant>
      <vt:variant>
        <vt:i4>147</vt:i4>
      </vt:variant>
      <vt:variant>
        <vt:i4>0</vt:i4>
      </vt:variant>
      <vt:variant>
        <vt:i4>5</vt:i4>
      </vt:variant>
      <vt:variant>
        <vt:lpwstr>https://doi.org/10.1097/EJA.0000000000000708</vt:lpwstr>
      </vt:variant>
      <vt:variant>
        <vt:lpwstr/>
      </vt:variant>
      <vt:variant>
        <vt:i4>6029401</vt:i4>
      </vt:variant>
      <vt:variant>
        <vt:i4>144</vt:i4>
      </vt:variant>
      <vt:variant>
        <vt:i4>0</vt:i4>
      </vt:variant>
      <vt:variant>
        <vt:i4>5</vt:i4>
      </vt:variant>
      <vt:variant>
        <vt:lpwstr>https://doi.org/10.1097/EJA.0000000000000705</vt:lpwstr>
      </vt:variant>
      <vt:variant>
        <vt:lpwstr/>
      </vt:variant>
      <vt:variant>
        <vt:i4>7020677</vt:i4>
      </vt:variant>
      <vt:variant>
        <vt:i4>141</vt:i4>
      </vt:variant>
      <vt:variant>
        <vt:i4>0</vt:i4>
      </vt:variant>
      <vt:variant>
        <vt:i4>5</vt:i4>
      </vt:variant>
      <vt:variant>
        <vt:lpwstr>Samama, C. M., Afshari, A., Lars Grønlykke, Madsen, M. H., Wiberg, S., &amp; Romero, C. S. (2024). European guidelines on peri-operative venous thromboembolism prophylaxis: first update. European Journal of Anaesthesiology, 41(8), 561–569. https:/doi.org/10.1097/eja.0000000000002025</vt:lpwstr>
      </vt:variant>
      <vt:variant>
        <vt:lpwstr/>
      </vt:variant>
      <vt:variant>
        <vt:i4>3538971</vt:i4>
      </vt:variant>
      <vt:variant>
        <vt:i4>138</vt:i4>
      </vt:variant>
      <vt:variant>
        <vt:i4>0</vt:i4>
      </vt:variant>
      <vt:variant>
        <vt:i4>5</vt:i4>
      </vt:variant>
      <vt:variant>
        <vt:lpwstr>file://\\mathematica.net\NDrive\Project\52037_Patient_Safety\DC1\TransitionPeriod\Measure_Specific_Information\HH_PostoperativeVenousThromboembolism_CMS1061\Historical_AIR\MUC (2024)\Venclauskas, L., Maleckas, A., &amp; Arcelus, J. I. (2018). European guidelines on perioperative venous thromboembolism prophylaxis: Surgery in the obese patient. European Journal of Anaesthesiology, 35(2), 147–153. https:\doi.org\10.1097\EJA.0000000000000703</vt:lpwstr>
      </vt:variant>
      <vt:variant>
        <vt:lpwstr/>
      </vt:variant>
      <vt:variant>
        <vt:i4>5832792</vt:i4>
      </vt:variant>
      <vt:variant>
        <vt:i4>135</vt:i4>
      </vt:variant>
      <vt:variant>
        <vt:i4>0</vt:i4>
      </vt:variant>
      <vt:variant>
        <vt:i4>5</vt:i4>
      </vt:variant>
      <vt:variant>
        <vt:lpwstr>https://doi.org/10.1097/EJA.0000000000000710</vt:lpwstr>
      </vt:variant>
      <vt:variant>
        <vt:lpwstr/>
      </vt:variant>
      <vt:variant>
        <vt:i4>983048</vt:i4>
      </vt:variant>
      <vt:variant>
        <vt:i4>132</vt:i4>
      </vt:variant>
      <vt:variant>
        <vt:i4>0</vt:i4>
      </vt:variant>
      <vt:variant>
        <vt:i4>5</vt:i4>
      </vt:variant>
      <vt:variant>
        <vt:lpwstr>https://ashpublications.org/bloodadvances/article/3/23/3898/429211/American-Society-of-Hematology-2019-guidelines-for</vt:lpwstr>
      </vt:variant>
      <vt:variant>
        <vt:lpwstr/>
      </vt:variant>
      <vt:variant>
        <vt:i4>7340094</vt:i4>
      </vt:variant>
      <vt:variant>
        <vt:i4>129</vt:i4>
      </vt:variant>
      <vt:variant>
        <vt:i4>0</vt:i4>
      </vt:variant>
      <vt:variant>
        <vt:i4>5</vt:i4>
      </vt:variant>
      <vt:variant>
        <vt:lpwstr>Stevens, S. M., Woller, S. C., Kreuziger, L. B., Bounameaux, H., Doerschug, K., Geersing, G. J., Huisman, M. V., Kearon, C., King, C. S., Knighton, A. J., Lake, E., Murin, S., Vintch, J. R. E., Wells, P. S., &amp; Moores, L. K. (2021). Antithrombotic Therapy for VTE Disease: Second Update of the CHEST Guideline and Expert Panel Report. Chest, 160(6), e545–e608. https:/doi.org/10.1016/j.chest.2021.07.055</vt:lpwstr>
      </vt:variant>
      <vt:variant>
        <vt:lpwstr/>
      </vt:variant>
      <vt:variant>
        <vt:i4>3932205</vt:i4>
      </vt:variant>
      <vt:variant>
        <vt:i4>126</vt:i4>
      </vt:variant>
      <vt:variant>
        <vt:i4>0</vt:i4>
      </vt:variant>
      <vt:variant>
        <vt:i4>5</vt:i4>
      </vt:variant>
      <vt:variant>
        <vt:lpwstr>https://journal.chestnet.org/article/S0012-3692(12)60126-3/fulltext</vt:lpwstr>
      </vt:variant>
      <vt:variant>
        <vt:lpwstr/>
      </vt:variant>
      <vt:variant>
        <vt:i4>3997741</vt:i4>
      </vt:variant>
      <vt:variant>
        <vt:i4>123</vt:i4>
      </vt:variant>
      <vt:variant>
        <vt:i4>0</vt:i4>
      </vt:variant>
      <vt:variant>
        <vt:i4>5</vt:i4>
      </vt:variant>
      <vt:variant>
        <vt:lpwstr>https://journal.chestnet.org/article/S0012-3692(12)60125-1/fulltext</vt:lpwstr>
      </vt:variant>
      <vt:variant>
        <vt:lpwstr/>
      </vt:variant>
      <vt:variant>
        <vt:i4>1376307</vt:i4>
      </vt:variant>
      <vt:variant>
        <vt:i4>116</vt:i4>
      </vt:variant>
      <vt:variant>
        <vt:i4>0</vt:i4>
      </vt:variant>
      <vt:variant>
        <vt:i4>5</vt:i4>
      </vt:variant>
      <vt:variant>
        <vt:lpwstr/>
      </vt:variant>
      <vt:variant>
        <vt:lpwstr>_Toc195179038</vt:lpwstr>
      </vt:variant>
      <vt:variant>
        <vt:i4>1376307</vt:i4>
      </vt:variant>
      <vt:variant>
        <vt:i4>110</vt:i4>
      </vt:variant>
      <vt:variant>
        <vt:i4>0</vt:i4>
      </vt:variant>
      <vt:variant>
        <vt:i4>5</vt:i4>
      </vt:variant>
      <vt:variant>
        <vt:lpwstr/>
      </vt:variant>
      <vt:variant>
        <vt:lpwstr>_Toc195179037</vt:lpwstr>
      </vt:variant>
      <vt:variant>
        <vt:i4>1376307</vt:i4>
      </vt:variant>
      <vt:variant>
        <vt:i4>104</vt:i4>
      </vt:variant>
      <vt:variant>
        <vt:i4>0</vt:i4>
      </vt:variant>
      <vt:variant>
        <vt:i4>5</vt:i4>
      </vt:variant>
      <vt:variant>
        <vt:lpwstr/>
      </vt:variant>
      <vt:variant>
        <vt:lpwstr>_Toc195179036</vt:lpwstr>
      </vt:variant>
      <vt:variant>
        <vt:i4>1376307</vt:i4>
      </vt:variant>
      <vt:variant>
        <vt:i4>98</vt:i4>
      </vt:variant>
      <vt:variant>
        <vt:i4>0</vt:i4>
      </vt:variant>
      <vt:variant>
        <vt:i4>5</vt:i4>
      </vt:variant>
      <vt:variant>
        <vt:lpwstr/>
      </vt:variant>
      <vt:variant>
        <vt:lpwstr>_Toc195179035</vt:lpwstr>
      </vt:variant>
      <vt:variant>
        <vt:i4>1376307</vt:i4>
      </vt:variant>
      <vt:variant>
        <vt:i4>92</vt:i4>
      </vt:variant>
      <vt:variant>
        <vt:i4>0</vt:i4>
      </vt:variant>
      <vt:variant>
        <vt:i4>5</vt:i4>
      </vt:variant>
      <vt:variant>
        <vt:lpwstr/>
      </vt:variant>
      <vt:variant>
        <vt:lpwstr>_Toc195179034</vt:lpwstr>
      </vt:variant>
      <vt:variant>
        <vt:i4>1376307</vt:i4>
      </vt:variant>
      <vt:variant>
        <vt:i4>86</vt:i4>
      </vt:variant>
      <vt:variant>
        <vt:i4>0</vt:i4>
      </vt:variant>
      <vt:variant>
        <vt:i4>5</vt:i4>
      </vt:variant>
      <vt:variant>
        <vt:lpwstr/>
      </vt:variant>
      <vt:variant>
        <vt:lpwstr>_Toc195179033</vt:lpwstr>
      </vt:variant>
      <vt:variant>
        <vt:i4>1376307</vt:i4>
      </vt:variant>
      <vt:variant>
        <vt:i4>80</vt:i4>
      </vt:variant>
      <vt:variant>
        <vt:i4>0</vt:i4>
      </vt:variant>
      <vt:variant>
        <vt:i4>5</vt:i4>
      </vt:variant>
      <vt:variant>
        <vt:lpwstr/>
      </vt:variant>
      <vt:variant>
        <vt:lpwstr>_Toc195179032</vt:lpwstr>
      </vt:variant>
      <vt:variant>
        <vt:i4>1376307</vt:i4>
      </vt:variant>
      <vt:variant>
        <vt:i4>74</vt:i4>
      </vt:variant>
      <vt:variant>
        <vt:i4>0</vt:i4>
      </vt:variant>
      <vt:variant>
        <vt:i4>5</vt:i4>
      </vt:variant>
      <vt:variant>
        <vt:lpwstr/>
      </vt:variant>
      <vt:variant>
        <vt:lpwstr>_Toc195179031</vt:lpwstr>
      </vt:variant>
      <vt:variant>
        <vt:i4>1376307</vt:i4>
      </vt:variant>
      <vt:variant>
        <vt:i4>68</vt:i4>
      </vt:variant>
      <vt:variant>
        <vt:i4>0</vt:i4>
      </vt:variant>
      <vt:variant>
        <vt:i4>5</vt:i4>
      </vt:variant>
      <vt:variant>
        <vt:lpwstr/>
      </vt:variant>
      <vt:variant>
        <vt:lpwstr>_Toc195179030</vt:lpwstr>
      </vt:variant>
      <vt:variant>
        <vt:i4>1310771</vt:i4>
      </vt:variant>
      <vt:variant>
        <vt:i4>62</vt:i4>
      </vt:variant>
      <vt:variant>
        <vt:i4>0</vt:i4>
      </vt:variant>
      <vt:variant>
        <vt:i4>5</vt:i4>
      </vt:variant>
      <vt:variant>
        <vt:lpwstr/>
      </vt:variant>
      <vt:variant>
        <vt:lpwstr>_Toc195179029</vt:lpwstr>
      </vt:variant>
      <vt:variant>
        <vt:i4>1310771</vt:i4>
      </vt:variant>
      <vt:variant>
        <vt:i4>56</vt:i4>
      </vt:variant>
      <vt:variant>
        <vt:i4>0</vt:i4>
      </vt:variant>
      <vt:variant>
        <vt:i4>5</vt:i4>
      </vt:variant>
      <vt:variant>
        <vt:lpwstr/>
      </vt:variant>
      <vt:variant>
        <vt:lpwstr>_Toc195179028</vt:lpwstr>
      </vt:variant>
      <vt:variant>
        <vt:i4>1310771</vt:i4>
      </vt:variant>
      <vt:variant>
        <vt:i4>50</vt:i4>
      </vt:variant>
      <vt:variant>
        <vt:i4>0</vt:i4>
      </vt:variant>
      <vt:variant>
        <vt:i4>5</vt:i4>
      </vt:variant>
      <vt:variant>
        <vt:lpwstr/>
      </vt:variant>
      <vt:variant>
        <vt:lpwstr>_Toc195179027</vt:lpwstr>
      </vt:variant>
      <vt:variant>
        <vt:i4>1310771</vt:i4>
      </vt:variant>
      <vt:variant>
        <vt:i4>44</vt:i4>
      </vt:variant>
      <vt:variant>
        <vt:i4>0</vt:i4>
      </vt:variant>
      <vt:variant>
        <vt:i4>5</vt:i4>
      </vt:variant>
      <vt:variant>
        <vt:lpwstr/>
      </vt:variant>
      <vt:variant>
        <vt:lpwstr>_Toc195179026</vt:lpwstr>
      </vt:variant>
      <vt:variant>
        <vt:i4>1310771</vt:i4>
      </vt:variant>
      <vt:variant>
        <vt:i4>38</vt:i4>
      </vt:variant>
      <vt:variant>
        <vt:i4>0</vt:i4>
      </vt:variant>
      <vt:variant>
        <vt:i4>5</vt:i4>
      </vt:variant>
      <vt:variant>
        <vt:lpwstr/>
      </vt:variant>
      <vt:variant>
        <vt:lpwstr>_Toc195179025</vt:lpwstr>
      </vt:variant>
      <vt:variant>
        <vt:i4>1310771</vt:i4>
      </vt:variant>
      <vt:variant>
        <vt:i4>32</vt:i4>
      </vt:variant>
      <vt:variant>
        <vt:i4>0</vt:i4>
      </vt:variant>
      <vt:variant>
        <vt:i4>5</vt:i4>
      </vt:variant>
      <vt:variant>
        <vt:lpwstr/>
      </vt:variant>
      <vt:variant>
        <vt:lpwstr>_Toc195179024</vt:lpwstr>
      </vt:variant>
      <vt:variant>
        <vt:i4>1310771</vt:i4>
      </vt:variant>
      <vt:variant>
        <vt:i4>26</vt:i4>
      </vt:variant>
      <vt:variant>
        <vt:i4>0</vt:i4>
      </vt:variant>
      <vt:variant>
        <vt:i4>5</vt:i4>
      </vt:variant>
      <vt:variant>
        <vt:lpwstr/>
      </vt:variant>
      <vt:variant>
        <vt:lpwstr>_Toc195179023</vt:lpwstr>
      </vt:variant>
      <vt:variant>
        <vt:i4>1310771</vt:i4>
      </vt:variant>
      <vt:variant>
        <vt:i4>20</vt:i4>
      </vt:variant>
      <vt:variant>
        <vt:i4>0</vt:i4>
      </vt:variant>
      <vt:variant>
        <vt:i4>5</vt:i4>
      </vt:variant>
      <vt:variant>
        <vt:lpwstr/>
      </vt:variant>
      <vt:variant>
        <vt:lpwstr>_Toc195179022</vt:lpwstr>
      </vt:variant>
      <vt:variant>
        <vt:i4>1310771</vt:i4>
      </vt:variant>
      <vt:variant>
        <vt:i4>14</vt:i4>
      </vt:variant>
      <vt:variant>
        <vt:i4>0</vt:i4>
      </vt:variant>
      <vt:variant>
        <vt:i4>5</vt:i4>
      </vt:variant>
      <vt:variant>
        <vt:lpwstr/>
      </vt:variant>
      <vt:variant>
        <vt:lpwstr>_Toc195179021</vt:lpwstr>
      </vt:variant>
      <vt:variant>
        <vt:i4>1310771</vt:i4>
      </vt:variant>
      <vt:variant>
        <vt:i4>8</vt:i4>
      </vt:variant>
      <vt:variant>
        <vt:i4>0</vt:i4>
      </vt:variant>
      <vt:variant>
        <vt:i4>5</vt:i4>
      </vt:variant>
      <vt:variant>
        <vt:lpwstr/>
      </vt:variant>
      <vt:variant>
        <vt:lpwstr>_Toc195179020</vt:lpwstr>
      </vt:variant>
      <vt:variant>
        <vt:i4>1507379</vt:i4>
      </vt:variant>
      <vt:variant>
        <vt:i4>2</vt:i4>
      </vt:variant>
      <vt:variant>
        <vt:i4>0</vt:i4>
      </vt:variant>
      <vt:variant>
        <vt:i4>5</vt:i4>
      </vt:variant>
      <vt:variant>
        <vt:lpwstr/>
      </vt:variant>
      <vt:variant>
        <vt:lpwstr>_Toc195179019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MUC2025-067-OTHER-2025MUCListAttachmentVTE</dc:title>
  <dc:subject/>
  <dc:creator>Centers for Medicare &amp; Medicare Services (CMS)</dc:creator>
  <cp:keywords>MUC2025-067</cp:keywords>
  <dc:description/>
  <cp:lastModifiedBy>Cocci, Adrienne (US)</cp:lastModifiedBy>
  <cp:revision>36</cp:revision>
  <cp:lastPrinted>2020-09-12T00:32:00Z</cp:lastPrinted>
  <dcterms:created xsi:type="dcterms:W3CDTF">2025-04-14T14:30:00Z</dcterms:created>
  <dcterms:modified xsi:type="dcterms:W3CDTF">2025-08-21T19:06:00Z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0x0101008546E1A969394D42B226EE660BD9CBEB</vt:lpwstr>
  </property>
  <property fmtid="{D5CDD505-2E9C-101B-9397-08002B2CF9AE}" pid="3" name="Template Notes">
    <vt:lpwstr>Will be renamed before rollout. this will be the key Template upon which proposal and custom templates will be based.</vt:lpwstr>
  </property>
  <property fmtid="{D5CDD505-2E9C-101B-9397-08002B2CF9AE}" pid="4" name="Project Deliverable">
    <vt:lpwstr>All</vt:lpwstr>
  </property>
  <property fmtid="{D5CDD505-2E9C-101B-9397-08002B2CF9AE}" pid="5" name="Document Version">
    <vt:lpwstr>Working</vt:lpwstr>
  </property>
  <property fmtid="{D5CDD505-2E9C-101B-9397-08002B2CF9AE}" pid="6" name="Template Category">
    <vt:lpwstr>MSW Interior text</vt:lpwstr>
  </property>
  <property fmtid="{D5CDD505-2E9C-101B-9397-08002B2CF9AE}" pid="7" name="Degree">
    <vt:lpwstr/>
  </property>
  <property fmtid="{D5CDD505-2E9C-101B-9397-08002B2CF9AE}" pid="8" name="Resume Status">
    <vt:lpwstr/>
  </property>
  <property fmtid="{D5CDD505-2E9C-101B-9397-08002B2CF9AE}" pid="9" name="MPR Status">
    <vt:lpwstr/>
  </property>
  <property fmtid="{D5CDD505-2E9C-101B-9397-08002B2CF9AE}" pid="10" name="Language Proficiency">
    <vt:lpwstr/>
  </property>
  <property fmtid="{D5CDD505-2E9C-101B-9397-08002B2CF9AE}" pid="11" name="Document Category">
    <vt:lpwstr/>
  </property>
  <property fmtid="{D5CDD505-2E9C-101B-9397-08002B2CF9AE}" pid="12" name="Resume Contact">
    <vt:lpwstr/>
  </property>
  <property fmtid="{D5CDD505-2E9C-101B-9397-08002B2CF9AE}" pid="13" name="Division">
    <vt:lpwstr/>
  </property>
  <property fmtid="{D5CDD505-2E9C-101B-9397-08002B2CF9AE}" pid="14" name="MPR Experienc">
    <vt:lpwstr/>
  </property>
  <property fmtid="{D5CDD505-2E9C-101B-9397-08002B2CF9AE}" pid="15" name="Focus Areas">
    <vt:lpwstr/>
  </property>
  <property fmtid="{D5CDD505-2E9C-101B-9397-08002B2CF9AE}" pid="16" name="ID Number">
    <vt:lpwstr/>
  </property>
  <property fmtid="{D5CDD505-2E9C-101B-9397-08002B2CF9AE}" pid="17" name="Position Title">
    <vt:lpwstr/>
  </property>
  <property fmtid="{D5CDD505-2E9C-101B-9397-08002B2CF9AE}" pid="18" name="MediaServiceImageTags">
    <vt:lpwstr/>
  </property>
</Properties>
</file>